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A64A8" w:rsidRPr="0018019D" w:rsidRDefault="004A64A8" w:rsidP="00BA1FA3">
      <w:pPr>
        <w:rPr>
          <w:rFonts w:ascii="Times New Roman" w:hAnsi="Times New Roman"/>
          <w:sz w:val="24"/>
          <w:szCs w:val="24"/>
        </w:rPr>
      </w:pPr>
      <w:r w:rsidRPr="0018019D">
        <w:rPr>
          <w:rFonts w:ascii="Times New Roman" w:hAnsi="Times New Roman"/>
          <w:sz w:val="24"/>
          <w:szCs w:val="24"/>
        </w:rPr>
        <w:t>EL CAMBIO EN EL PRECIO DE LOS ALIMENTOS; CAUSAS Y CONSECUENCIAS.</w:t>
      </w:r>
    </w:p>
    <w:p w:rsidR="004A64A8" w:rsidRPr="0018019D" w:rsidRDefault="004A64A8" w:rsidP="00BA1FA3">
      <w:pPr>
        <w:rPr>
          <w:rFonts w:ascii="Times New Roman" w:hAnsi="Times New Roman"/>
          <w:sz w:val="24"/>
          <w:szCs w:val="24"/>
        </w:rPr>
      </w:pPr>
    </w:p>
    <w:p w:rsidR="004A64A8" w:rsidRPr="0018019D" w:rsidRDefault="004A64A8" w:rsidP="00BA1FA3">
      <w:pPr>
        <w:rPr>
          <w:rFonts w:ascii="Times New Roman" w:hAnsi="Times New Roman"/>
          <w:sz w:val="24"/>
          <w:szCs w:val="24"/>
        </w:rPr>
      </w:pPr>
    </w:p>
    <w:p w:rsidR="004A64A8" w:rsidRPr="0018019D" w:rsidRDefault="004A64A8" w:rsidP="00BA1FA3">
      <w:pPr>
        <w:rPr>
          <w:rFonts w:ascii="Times New Roman" w:hAnsi="Times New Roman"/>
          <w:sz w:val="24"/>
          <w:szCs w:val="24"/>
        </w:rPr>
      </w:pPr>
    </w:p>
    <w:p w:rsidR="004A64A8" w:rsidRPr="0018019D" w:rsidRDefault="004A64A8" w:rsidP="00BA1FA3">
      <w:pPr>
        <w:rPr>
          <w:rFonts w:ascii="Times New Roman" w:hAnsi="Times New Roman"/>
          <w:sz w:val="24"/>
          <w:szCs w:val="24"/>
        </w:rPr>
      </w:pPr>
    </w:p>
    <w:p w:rsidR="004A64A8" w:rsidRPr="0018019D" w:rsidRDefault="004A64A8" w:rsidP="00BA1FA3">
      <w:pPr>
        <w:rPr>
          <w:rFonts w:ascii="Times New Roman" w:hAnsi="Times New Roman"/>
          <w:sz w:val="24"/>
          <w:szCs w:val="24"/>
        </w:rPr>
      </w:pPr>
    </w:p>
    <w:p w:rsidR="004A64A8" w:rsidRPr="0018019D" w:rsidRDefault="004A64A8" w:rsidP="00BA1FA3">
      <w:pPr>
        <w:rPr>
          <w:rFonts w:ascii="Times New Roman" w:hAnsi="Times New Roman"/>
          <w:sz w:val="24"/>
          <w:szCs w:val="24"/>
        </w:rPr>
      </w:pPr>
    </w:p>
    <w:p w:rsidR="004A64A8" w:rsidRPr="0018019D" w:rsidRDefault="004A64A8" w:rsidP="00BA1FA3">
      <w:pPr>
        <w:rPr>
          <w:rFonts w:ascii="Times New Roman" w:hAnsi="Times New Roman"/>
          <w:sz w:val="24"/>
          <w:szCs w:val="24"/>
        </w:rPr>
      </w:pPr>
    </w:p>
    <w:p w:rsidR="004A64A8" w:rsidRPr="0018019D" w:rsidRDefault="004A64A8" w:rsidP="00BA1FA3">
      <w:pPr>
        <w:rPr>
          <w:rFonts w:ascii="Times New Roman" w:hAnsi="Times New Roman"/>
          <w:sz w:val="24"/>
          <w:szCs w:val="24"/>
        </w:rPr>
      </w:pPr>
    </w:p>
    <w:p w:rsidR="004A64A8" w:rsidRPr="0018019D" w:rsidRDefault="004A64A8" w:rsidP="00BA1FA3">
      <w:pPr>
        <w:rPr>
          <w:rFonts w:ascii="Times New Roman" w:hAnsi="Times New Roman"/>
          <w:sz w:val="24"/>
          <w:szCs w:val="24"/>
        </w:rPr>
      </w:pPr>
    </w:p>
    <w:p w:rsidR="004A64A8" w:rsidRPr="0018019D" w:rsidRDefault="004A64A8" w:rsidP="00BA1FA3">
      <w:pPr>
        <w:rPr>
          <w:rFonts w:ascii="Times New Roman" w:hAnsi="Times New Roman"/>
          <w:sz w:val="24"/>
          <w:szCs w:val="24"/>
        </w:rPr>
      </w:pPr>
    </w:p>
    <w:p w:rsidR="004A64A8" w:rsidRPr="0018019D" w:rsidRDefault="004A64A8" w:rsidP="00BA1FA3">
      <w:pPr>
        <w:rPr>
          <w:rFonts w:ascii="Times New Roman" w:hAnsi="Times New Roman"/>
          <w:sz w:val="24"/>
          <w:szCs w:val="24"/>
        </w:rPr>
      </w:pPr>
    </w:p>
    <w:p w:rsidR="004A64A8" w:rsidRPr="0018019D" w:rsidRDefault="004A64A8" w:rsidP="00BA1FA3">
      <w:pPr>
        <w:rPr>
          <w:rFonts w:ascii="Times New Roman" w:hAnsi="Times New Roman"/>
          <w:sz w:val="24"/>
          <w:szCs w:val="24"/>
        </w:rPr>
      </w:pPr>
    </w:p>
    <w:p w:rsidR="004A64A8" w:rsidRPr="0018019D" w:rsidRDefault="004A64A8" w:rsidP="00BA1FA3">
      <w:pPr>
        <w:rPr>
          <w:rFonts w:ascii="Times New Roman" w:hAnsi="Times New Roman"/>
          <w:sz w:val="24"/>
          <w:szCs w:val="24"/>
        </w:rPr>
      </w:pPr>
    </w:p>
    <w:p w:rsidR="004A64A8" w:rsidRPr="0018019D" w:rsidRDefault="004A64A8" w:rsidP="00BA1FA3">
      <w:pPr>
        <w:rPr>
          <w:rFonts w:ascii="Times New Roman" w:hAnsi="Times New Roman"/>
          <w:sz w:val="24"/>
          <w:szCs w:val="24"/>
        </w:rPr>
      </w:pPr>
    </w:p>
    <w:p w:rsidR="004A64A8" w:rsidRPr="0018019D" w:rsidRDefault="004A64A8" w:rsidP="00BA1FA3">
      <w:pPr>
        <w:rPr>
          <w:rFonts w:ascii="Times New Roman" w:hAnsi="Times New Roman"/>
          <w:sz w:val="24"/>
          <w:szCs w:val="24"/>
        </w:rPr>
      </w:pPr>
    </w:p>
    <w:p w:rsidR="004A64A8" w:rsidRPr="0018019D" w:rsidRDefault="004A64A8" w:rsidP="00BA1FA3">
      <w:pPr>
        <w:rPr>
          <w:rFonts w:ascii="Times New Roman" w:hAnsi="Times New Roman"/>
          <w:sz w:val="24"/>
          <w:szCs w:val="24"/>
        </w:rPr>
      </w:pPr>
    </w:p>
    <w:p w:rsidR="004A64A8" w:rsidRPr="0018019D" w:rsidRDefault="004A64A8" w:rsidP="00BA1FA3">
      <w:pPr>
        <w:rPr>
          <w:rFonts w:ascii="Times New Roman" w:hAnsi="Times New Roman"/>
          <w:sz w:val="24"/>
          <w:szCs w:val="24"/>
        </w:rPr>
      </w:pPr>
    </w:p>
    <w:p w:rsidR="004A64A8" w:rsidRPr="0018019D" w:rsidRDefault="004A64A8" w:rsidP="00BA1FA3">
      <w:pPr>
        <w:rPr>
          <w:rFonts w:ascii="Times New Roman" w:hAnsi="Times New Roman"/>
          <w:sz w:val="24"/>
          <w:szCs w:val="24"/>
        </w:rPr>
      </w:pPr>
    </w:p>
    <w:p w:rsidR="004A64A8" w:rsidRPr="0018019D" w:rsidRDefault="004A64A8" w:rsidP="00BA1FA3">
      <w:pPr>
        <w:rPr>
          <w:rFonts w:ascii="Times New Roman" w:hAnsi="Times New Roman"/>
          <w:sz w:val="24"/>
          <w:szCs w:val="24"/>
        </w:rPr>
      </w:pPr>
    </w:p>
    <w:p w:rsidR="004A64A8" w:rsidRPr="0018019D" w:rsidRDefault="004A64A8" w:rsidP="00BA1FA3">
      <w:pPr>
        <w:rPr>
          <w:rFonts w:ascii="Times New Roman" w:hAnsi="Times New Roman"/>
          <w:sz w:val="24"/>
          <w:szCs w:val="24"/>
        </w:rPr>
      </w:pPr>
    </w:p>
    <w:p w:rsidR="004A64A8" w:rsidRPr="0018019D" w:rsidRDefault="004A64A8" w:rsidP="00BA1FA3">
      <w:pPr>
        <w:rPr>
          <w:rFonts w:ascii="Times New Roman" w:hAnsi="Times New Roman"/>
          <w:sz w:val="24"/>
          <w:szCs w:val="24"/>
        </w:rPr>
      </w:pPr>
    </w:p>
    <w:p w:rsidR="004A64A8" w:rsidRPr="0018019D" w:rsidRDefault="004A64A8" w:rsidP="00BA1FA3">
      <w:pPr>
        <w:rPr>
          <w:rFonts w:ascii="Times New Roman" w:hAnsi="Times New Roman"/>
          <w:sz w:val="24"/>
          <w:szCs w:val="24"/>
        </w:rPr>
      </w:pPr>
    </w:p>
    <w:p w:rsidR="004A64A8" w:rsidRPr="0018019D" w:rsidRDefault="004A64A8" w:rsidP="00BA1FA3">
      <w:pPr>
        <w:rPr>
          <w:rFonts w:ascii="Times New Roman" w:hAnsi="Times New Roman"/>
          <w:sz w:val="24"/>
          <w:szCs w:val="24"/>
        </w:rPr>
      </w:pPr>
    </w:p>
    <w:p w:rsidR="004A64A8" w:rsidRPr="0018019D" w:rsidRDefault="004A64A8" w:rsidP="00BA1FA3">
      <w:pPr>
        <w:rPr>
          <w:rFonts w:ascii="Times New Roman" w:hAnsi="Times New Roman"/>
          <w:sz w:val="24"/>
          <w:szCs w:val="24"/>
        </w:rPr>
      </w:pPr>
      <w:r w:rsidRPr="0018019D">
        <w:rPr>
          <w:rFonts w:ascii="Times New Roman" w:hAnsi="Times New Roman"/>
          <w:sz w:val="24"/>
          <w:szCs w:val="24"/>
        </w:rPr>
        <w:t>VICTORIA DE ZURIARRAIN PÉREZ-URRUTI</w:t>
      </w:r>
    </w:p>
    <w:p w:rsidR="004A64A8" w:rsidRPr="0018019D" w:rsidRDefault="004A64A8" w:rsidP="00BA1FA3">
      <w:pPr>
        <w:rPr>
          <w:rFonts w:ascii="Times New Roman" w:hAnsi="Times New Roman"/>
          <w:sz w:val="24"/>
          <w:szCs w:val="24"/>
        </w:rPr>
      </w:pPr>
      <w:r w:rsidRPr="0018019D">
        <w:rPr>
          <w:rFonts w:ascii="Times New Roman" w:hAnsi="Times New Roman"/>
          <w:sz w:val="24"/>
          <w:szCs w:val="24"/>
        </w:rPr>
        <w:t>100056943</w:t>
      </w:r>
    </w:p>
    <w:p w:rsidR="004A64A8" w:rsidRPr="0018019D" w:rsidRDefault="004A64A8" w:rsidP="00BA1FA3">
      <w:pPr>
        <w:rPr>
          <w:rFonts w:ascii="Times New Roman" w:hAnsi="Times New Roman"/>
          <w:sz w:val="24"/>
          <w:szCs w:val="24"/>
        </w:rPr>
      </w:pPr>
    </w:p>
    <w:p w:rsidR="004A64A8" w:rsidRPr="0018019D" w:rsidRDefault="004A64A8" w:rsidP="00BA1FA3">
      <w:pPr>
        <w:rPr>
          <w:rFonts w:ascii="Times New Roman" w:hAnsi="Times New Roman"/>
          <w:sz w:val="24"/>
          <w:szCs w:val="24"/>
          <w:u w:val="single"/>
        </w:rPr>
      </w:pPr>
      <w:r w:rsidRPr="0018019D">
        <w:rPr>
          <w:rFonts w:ascii="Times New Roman" w:hAnsi="Times New Roman"/>
          <w:sz w:val="24"/>
          <w:szCs w:val="24"/>
          <w:u w:val="single"/>
        </w:rPr>
        <w:t>INTRODUCCIÓN</w:t>
      </w:r>
    </w:p>
    <w:p w:rsidR="004A64A8" w:rsidRPr="005B40FD" w:rsidRDefault="004A64A8" w:rsidP="00BA1FA3">
      <w:pPr>
        <w:rPr>
          <w:rFonts w:ascii="Times New Roman" w:hAnsi="Times New Roman"/>
          <w:sz w:val="24"/>
          <w:szCs w:val="24"/>
        </w:rPr>
      </w:pPr>
      <w:r w:rsidRPr="0018019D">
        <w:rPr>
          <w:rFonts w:ascii="Times New Roman" w:hAnsi="Times New Roman"/>
          <w:sz w:val="24"/>
          <w:szCs w:val="24"/>
        </w:rPr>
        <w:t xml:space="preserve"> El precio de los alimentos ha estado aumentando desde  hace varios años pero  aumentaron casi tres veces desde noviembre del 2007 hasta la primavera del 2008. </w:t>
      </w:r>
    </w:p>
    <w:p w:rsidR="004A64A8" w:rsidRPr="0018019D" w:rsidRDefault="004A64A8" w:rsidP="00BA1FA3">
      <w:pPr>
        <w:rPr>
          <w:rFonts w:ascii="Times New Roman" w:hAnsi="Times New Roman"/>
          <w:sz w:val="24"/>
          <w:szCs w:val="24"/>
        </w:rPr>
      </w:pPr>
      <w:r w:rsidRPr="00F02DBC">
        <w:rPr>
          <w:rFonts w:ascii="Times New Roman" w:hAnsi="Times New Roman"/>
          <w:noProof/>
          <w:sz w:val="24"/>
          <w:szCs w:val="24"/>
          <w:lang w:eastAsia="es-E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2" o:spid="_x0000_i1025" type="#_x0000_t75" style="width:421.5pt;height:231.75pt;visibility:visible">
            <v:imagedata r:id="rId7" o:title=""/>
          </v:shape>
        </w:pict>
      </w:r>
    </w:p>
    <w:p w:rsidR="004A64A8" w:rsidRPr="0018019D" w:rsidRDefault="004A64A8" w:rsidP="00BA1FA3">
      <w:pPr>
        <w:rPr>
          <w:rFonts w:ascii="Times New Roman" w:hAnsi="Times New Roman"/>
          <w:sz w:val="24"/>
          <w:szCs w:val="24"/>
        </w:rPr>
      </w:pPr>
      <w:r w:rsidRPr="0018019D">
        <w:rPr>
          <w:rFonts w:ascii="Times New Roman" w:hAnsi="Times New Roman"/>
          <w:sz w:val="24"/>
          <w:szCs w:val="24"/>
        </w:rPr>
        <w:t>Fuente: IMF (Fondo Monetario Internacional)</w:t>
      </w:r>
    </w:p>
    <w:p w:rsidR="004A64A8" w:rsidRPr="0018019D" w:rsidRDefault="004A64A8" w:rsidP="00BA1FA3">
      <w:pPr>
        <w:rPr>
          <w:rFonts w:ascii="Times New Roman" w:hAnsi="Times New Roman"/>
          <w:sz w:val="24"/>
          <w:szCs w:val="24"/>
        </w:rPr>
      </w:pPr>
    </w:p>
    <w:p w:rsidR="004A64A8" w:rsidRPr="0018019D" w:rsidRDefault="004A64A8" w:rsidP="00636A63">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 xml:space="preserve">Existen varios factores que pueden haber contribuido a la espectacular subida de precios durante este periodo. Factores que deben ser ponderados según su naturaleza; de corto-plazo o largo-plazo, así como específicos (sólo afecten al mercado de los alimentos) o  generales (que vengan determinados por las circunstancias macroeconómicas a nivel mundial) </w:t>
      </w:r>
    </w:p>
    <w:p w:rsidR="004A64A8" w:rsidRPr="0018019D" w:rsidRDefault="004A64A8" w:rsidP="00636A63">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Entre ellos están; la incipiente demanda de alimentos así como la transición hacia una dieta con proteínas animales (que requieren semillas y cereales para su alimentación) en países en desarrollo, lo que conlleva un aumento del consumo mundial más rápido que la producción, el mal tiempo así como las plagas durante el periodo comprendido entre el 2006 y el 2007, lo que agravó la situación de suministros alimentario, el desarrollo de programas de biocombustibles especialmente en estados Unidos y en Europa, que además contaba con subsidios y políticas favorables para su uso lo que impulso el uso del maíz y el aceite vegetal con el consecuente aumento de precios, la depreciación del dólar americano con respecto el euro y otras divisas, el aumento de precio de petróleo, el aumento de los costes de producción especialmente los fertilizantes y el diesel y por último la especulación en los mercados con derivados de los alimentos.</w:t>
      </w:r>
    </w:p>
    <w:p w:rsidR="004A64A8" w:rsidRPr="0018019D" w:rsidRDefault="004A64A8" w:rsidP="00636A63">
      <w:pPr>
        <w:autoSpaceDE w:val="0"/>
        <w:autoSpaceDN w:val="0"/>
        <w:adjustRightInd w:val="0"/>
        <w:spacing w:after="0" w:line="240" w:lineRule="auto"/>
        <w:rPr>
          <w:rFonts w:ascii="Times New Roman" w:hAnsi="Times New Roman"/>
          <w:sz w:val="24"/>
          <w:szCs w:val="24"/>
          <w:lang w:val="en-US"/>
        </w:rPr>
      </w:pPr>
      <w:r w:rsidRPr="005B40FD">
        <w:rPr>
          <w:rFonts w:ascii="Times New Roman" w:hAnsi="Times New Roman"/>
          <w:sz w:val="24"/>
          <w:szCs w:val="24"/>
          <w:highlight w:val="cyan"/>
          <w:lang w:val="en-US"/>
        </w:rPr>
        <w:t>oil for biofuels, thereby increasing the prices of these commodities.</w:t>
      </w:r>
    </w:p>
    <w:p w:rsidR="004A64A8" w:rsidRPr="0018019D" w:rsidRDefault="004A64A8" w:rsidP="00636A63">
      <w:pPr>
        <w:autoSpaceDE w:val="0"/>
        <w:autoSpaceDN w:val="0"/>
        <w:adjustRightInd w:val="0"/>
        <w:spacing w:after="0" w:line="240" w:lineRule="auto"/>
        <w:rPr>
          <w:rFonts w:ascii="Times New Roman" w:hAnsi="Times New Roman"/>
          <w:sz w:val="24"/>
          <w:szCs w:val="24"/>
          <w:lang w:val="en-US"/>
        </w:rPr>
      </w:pPr>
    </w:p>
    <w:p w:rsidR="004A64A8" w:rsidRPr="0018019D" w:rsidRDefault="004A64A8" w:rsidP="00527E93">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 xml:space="preserve">Muchos estudios han tratado de determinar las causas detrás del comportamiento del precio de los alimentos; Según el ERS (Economic research service) las causas a corto plazo fueron el aumento del nivel adquisitivo a nivel global, los cambios en la alimentación de la población, el uso de los biocombustibles, la escasez de oferta y la participación en los mercados de futuros de </w:t>
      </w:r>
      <w:r w:rsidRPr="005B40FD">
        <w:rPr>
          <w:rFonts w:ascii="Times New Roman" w:hAnsi="Times New Roman"/>
          <w:sz w:val="24"/>
          <w:szCs w:val="24"/>
          <w:highlight w:val="cyan"/>
        </w:rPr>
        <w:t>especuladores y nuevos inversores</w:t>
      </w:r>
      <w:r w:rsidRPr="0018019D">
        <w:rPr>
          <w:rFonts w:ascii="Times New Roman" w:hAnsi="Times New Roman"/>
          <w:sz w:val="24"/>
          <w:szCs w:val="24"/>
        </w:rPr>
        <w:t>. Sin embargo estos motivos no parecen explicar el actual comportamiento del precio de los alimentos tanto a nivel mundial como en España. (precios actuales, series temporales) que se caracteriza por una brutal caída de los mismos. En la actualidad el precio del petróleo se sitúa en los cuarenta dólares, los precios de la mayoría de productos agrarios ha disminuido y la producción de estos productos por otra parte a aumentado.</w:t>
      </w:r>
    </w:p>
    <w:p w:rsidR="004A64A8" w:rsidRPr="0018019D" w:rsidRDefault="004A64A8" w:rsidP="00527E93">
      <w:pPr>
        <w:autoSpaceDE w:val="0"/>
        <w:autoSpaceDN w:val="0"/>
        <w:adjustRightInd w:val="0"/>
        <w:spacing w:after="0" w:line="240" w:lineRule="auto"/>
        <w:rPr>
          <w:rFonts w:ascii="Times New Roman" w:hAnsi="Times New Roman"/>
          <w:sz w:val="24"/>
          <w:szCs w:val="24"/>
        </w:rPr>
      </w:pPr>
    </w:p>
    <w:p w:rsidR="004A64A8" w:rsidRPr="0018019D" w:rsidRDefault="004A64A8" w:rsidP="00527E93">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 xml:space="preserve"> </w:t>
      </w:r>
    </w:p>
    <w:p w:rsidR="004A64A8" w:rsidRPr="0018019D" w:rsidRDefault="004A64A8" w:rsidP="00BA1FA3">
      <w:pPr>
        <w:rPr>
          <w:rFonts w:ascii="Times New Roman" w:hAnsi="Times New Roman"/>
          <w:sz w:val="24"/>
          <w:szCs w:val="24"/>
        </w:rPr>
      </w:pPr>
      <w:r w:rsidRPr="0018019D">
        <w:rPr>
          <w:rFonts w:ascii="Times New Roman" w:hAnsi="Times New Roman"/>
          <w:sz w:val="24"/>
          <w:szCs w:val="24"/>
        </w:rPr>
        <w:t>Por ello se pretende analizar cuales pudieron ser  los factores que hicieron aumentar desproporcionadamente los precios para luego derrumbarlos. A primera vista podríamos deducir que el mercado de los alimentos simplemente siguió el ciclo económico que ha sufrido la economía mundial; una recesión tras un periodo de expansión. Sin embargo el mercado alimenticio cuenta con determinados elementos que hacen que su comportamiento sea especialmente volátil y además debemos tener en cuenta  que  al igual que el petróleo se trata de un sector  con carácter estratégico  y consecuentemente  los factores serán también de índole no solo económica sino también política.</w:t>
      </w:r>
    </w:p>
    <w:p w:rsidR="004A64A8" w:rsidRPr="0018019D" w:rsidRDefault="004A64A8" w:rsidP="0055431E">
      <w:pPr>
        <w:rPr>
          <w:rFonts w:ascii="Times New Roman" w:hAnsi="Times New Roman"/>
          <w:sz w:val="24"/>
          <w:szCs w:val="24"/>
        </w:rPr>
      </w:pPr>
      <w:r w:rsidRPr="0018019D">
        <w:rPr>
          <w:rFonts w:ascii="Times New Roman" w:hAnsi="Times New Roman"/>
          <w:sz w:val="24"/>
          <w:szCs w:val="24"/>
        </w:rPr>
        <w:t xml:space="preserve"> Muchos de los pronósticos (Banco Mundial, Fondo Monetario Internacional)) apuntaban a que el fenómeno del aumento de los precios no sería temporal sino que los precios alcanzados entre 2007 y 2008 se mantendrían. Sin embargo esto no ha sido así, los precios disminuyeron a finales del 2008, al igual que el precio del petróleo, el Euribor y demás bienes (IPC) tanto en España como a nivel mundial</w:t>
      </w:r>
    </w:p>
    <w:p w:rsidR="004A64A8" w:rsidRPr="0018019D" w:rsidRDefault="004A64A8" w:rsidP="000602CE">
      <w:pPr>
        <w:rPr>
          <w:rFonts w:ascii="Times New Roman" w:hAnsi="Times New Roman"/>
          <w:sz w:val="24"/>
          <w:szCs w:val="24"/>
        </w:rPr>
      </w:pPr>
      <w:r w:rsidRPr="0018019D">
        <w:rPr>
          <w:rFonts w:ascii="Times New Roman" w:hAnsi="Times New Roman"/>
          <w:sz w:val="24"/>
          <w:szCs w:val="24"/>
        </w:rPr>
        <w:t xml:space="preserve"> Puede que por eso las previsiones de que los precios se mantendrían en el futuro estuviesen equivocadas; sólo analizaban aquellos factores específicos del mercado de los alimentos  que llevaron a incrementar los precios y consecuentemente los cambios en la demanda, sin  tener en cuenta el marco económico mundial donde precisamente ya se estaban produciendo este tipo de fenómenos (especulación inmobiliaria). </w:t>
      </w:r>
    </w:p>
    <w:p w:rsidR="004A64A8" w:rsidRPr="0018019D" w:rsidRDefault="004A64A8" w:rsidP="0055431E">
      <w:pPr>
        <w:rPr>
          <w:rFonts w:ascii="Times New Roman" w:hAnsi="Times New Roman"/>
          <w:sz w:val="24"/>
          <w:szCs w:val="24"/>
        </w:rPr>
      </w:pPr>
      <w:r w:rsidRPr="0018019D">
        <w:rPr>
          <w:rFonts w:ascii="Times New Roman" w:hAnsi="Times New Roman"/>
          <w:sz w:val="24"/>
          <w:szCs w:val="24"/>
        </w:rPr>
        <w:t xml:space="preserve"> Una de las hipótesis aquí planteadas es que la evolución de los precios de los alimentos únicamente replicó la tendencia del ciclo económico mundial y probablemente el hecho de que los precios se disparasen desproporcionadamente pudo deberse a la  formación de una burbuja alimenticia donde la oferta y demanda se daban a grande escala (nivel mundial), donde intervenían motivaciones políticas y donde además la oferta estaba sujeta a unas condiciones específicas del sector que le atribuían a este mercado una significativa volatilidad. La volatilidad de los productos alimentarios ha sido y continúa siendo  un motivo de preocupación   para los gobiernos, los inversores, los productores y los consumidores. Con el aumento incipiente de del uso de una parte de los cereales como input par a las nuevas Fuentes de energías alternativas (etanol), el precio del crudo ha podido contribuir al aumento de los precios de los alimentos no sólo mediante el incremento de de los costes de los inputs pero también mediante al estímulo desproporciona</w:t>
      </w:r>
      <w:r>
        <w:rPr>
          <w:rFonts w:ascii="Times New Roman" w:hAnsi="Times New Roman"/>
          <w:sz w:val="24"/>
          <w:szCs w:val="24"/>
        </w:rPr>
        <w:t xml:space="preserve">do </w:t>
      </w:r>
      <w:r w:rsidRPr="0018019D">
        <w:rPr>
          <w:rFonts w:ascii="Times New Roman" w:hAnsi="Times New Roman"/>
          <w:sz w:val="24"/>
          <w:szCs w:val="24"/>
        </w:rPr>
        <w:t>de la demanda. Dado que la oferta de hectáreas para el cultivo es relativamente inelástica, es probable que los shocks en el mercado del maíz puedan afectar otros cultivos así como los alimentos. Por ello es imprescindible analizar la importancia de la relación entre el mercado de productos agrarios y el energético.</w:t>
      </w:r>
    </w:p>
    <w:p w:rsidR="004A64A8" w:rsidRPr="0018019D" w:rsidRDefault="004A64A8" w:rsidP="0055431E">
      <w:pPr>
        <w:rPr>
          <w:rFonts w:ascii="Times New Roman" w:hAnsi="Times New Roman"/>
          <w:sz w:val="24"/>
          <w:szCs w:val="24"/>
        </w:rPr>
      </w:pPr>
    </w:p>
    <w:p w:rsidR="004A64A8" w:rsidRPr="0018019D" w:rsidRDefault="004A64A8" w:rsidP="00BA1FA3">
      <w:pPr>
        <w:rPr>
          <w:rFonts w:ascii="Times New Roman" w:hAnsi="Times New Roman"/>
          <w:sz w:val="24"/>
          <w:szCs w:val="24"/>
        </w:rPr>
      </w:pPr>
    </w:p>
    <w:p w:rsidR="004A64A8" w:rsidRPr="0018019D" w:rsidRDefault="004A64A8" w:rsidP="00BA1FA3">
      <w:pPr>
        <w:rPr>
          <w:rFonts w:ascii="Times New Roman" w:hAnsi="Times New Roman"/>
          <w:sz w:val="24"/>
          <w:szCs w:val="24"/>
        </w:rPr>
      </w:pPr>
    </w:p>
    <w:p w:rsidR="004A64A8" w:rsidRPr="0018019D" w:rsidRDefault="004A64A8" w:rsidP="00937995">
      <w:pPr>
        <w:rPr>
          <w:rFonts w:ascii="Times New Roman" w:hAnsi="Times New Roman"/>
          <w:sz w:val="24"/>
          <w:szCs w:val="24"/>
          <w:u w:val="single"/>
        </w:rPr>
      </w:pPr>
      <w:r w:rsidRPr="0018019D">
        <w:rPr>
          <w:rFonts w:ascii="Times New Roman" w:hAnsi="Times New Roman"/>
          <w:sz w:val="24"/>
          <w:szCs w:val="24"/>
          <w:u w:val="single"/>
        </w:rPr>
        <w:t>FACTORES CIRCUNSTANCIALES/ESPECÍFICOS</w:t>
      </w:r>
    </w:p>
    <w:p w:rsidR="004A64A8" w:rsidRPr="0018019D" w:rsidRDefault="004A64A8" w:rsidP="004D3B6D">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 xml:space="preserve">Existen dos circunstancias específicas que a la que muchos estudios atribuyen la consecuencia del aumento del precio en los alimentos; la disminución de la producción y las restricciones al comercio por parte de países exportadores. </w:t>
      </w:r>
    </w:p>
    <w:p w:rsidR="004A64A8" w:rsidRPr="0018019D" w:rsidRDefault="004A64A8" w:rsidP="004D3B6D">
      <w:pPr>
        <w:autoSpaceDE w:val="0"/>
        <w:autoSpaceDN w:val="0"/>
        <w:adjustRightInd w:val="0"/>
        <w:spacing w:after="0" w:line="240" w:lineRule="auto"/>
        <w:rPr>
          <w:rFonts w:ascii="Times New Roman" w:hAnsi="Times New Roman"/>
          <w:sz w:val="24"/>
          <w:szCs w:val="24"/>
        </w:rPr>
      </w:pPr>
    </w:p>
    <w:p w:rsidR="004A64A8" w:rsidRPr="0018019D" w:rsidRDefault="004A64A8" w:rsidP="004D3B6D">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 xml:space="preserve">El stock de alimentos para diversos productos agrícolas disminuyo de manera considerable durante el periodo del 2007/2008.  El análisis de estos stocks puede ayudar a explicar porque los precios aumentaron tanto. Aun así la escasez de provisiones no parece explicar completamente el fenómeno del comportamiento de los precios, al menos si lo comparamos con datos pasados entre el nivel  de los stocks y los precios. Lo que significa que otros factores contribuyen de manera importante  a determinar los precios de los alimentos.    </w:t>
      </w:r>
    </w:p>
    <w:p w:rsidR="004A64A8" w:rsidRPr="0018019D" w:rsidRDefault="004A64A8" w:rsidP="004D3B6D">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 xml:space="preserve">Como podemos comprobar en la tabla, la tendencia hacia los niveles de mínimos stock se inicia en el periodo 2002/2003 en donde los stocks mundiales descendieron hasta un 25% por primera vez desde 1980, lo que significa que la situación de escasez lleva dándose a cabo unos seis años. Si lo miramos desde una mayor perspectiva, los stocks de grano mundiales han estado disminuyendo en ocho de los últimos nueve años desde 1998/99 hasta 2007/08. </w:t>
      </w:r>
    </w:p>
    <w:p w:rsidR="004A64A8" w:rsidRPr="0018019D" w:rsidRDefault="004A64A8" w:rsidP="004D3B6D">
      <w:pPr>
        <w:autoSpaceDE w:val="0"/>
        <w:autoSpaceDN w:val="0"/>
        <w:adjustRightInd w:val="0"/>
        <w:spacing w:after="0" w:line="240" w:lineRule="auto"/>
        <w:rPr>
          <w:rFonts w:ascii="Times New Roman" w:hAnsi="Times New Roman"/>
          <w:sz w:val="24"/>
          <w:szCs w:val="24"/>
        </w:rPr>
      </w:pPr>
    </w:p>
    <w:p w:rsidR="004A64A8" w:rsidRPr="0018019D" w:rsidRDefault="004A64A8" w:rsidP="004D3B6D">
      <w:pPr>
        <w:autoSpaceDE w:val="0"/>
        <w:autoSpaceDN w:val="0"/>
        <w:adjustRightInd w:val="0"/>
        <w:spacing w:after="0" w:line="240" w:lineRule="auto"/>
        <w:rPr>
          <w:rFonts w:ascii="Times New Roman" w:hAnsi="Times New Roman"/>
          <w:sz w:val="24"/>
          <w:szCs w:val="24"/>
        </w:rPr>
      </w:pPr>
      <w:r w:rsidRPr="00F02DBC">
        <w:rPr>
          <w:rFonts w:ascii="Times New Roman" w:hAnsi="Times New Roman"/>
          <w:noProof/>
          <w:sz w:val="24"/>
          <w:szCs w:val="24"/>
          <w:lang w:eastAsia="es-ES"/>
        </w:rPr>
        <w:pict>
          <v:shape id="Imagen 3" o:spid="_x0000_i1026" type="#_x0000_t75" style="width:459pt;height:295.5pt;visibility:visible">
            <v:imagedata r:id="rId8" o:title=""/>
          </v:shape>
        </w:pict>
      </w:r>
    </w:p>
    <w:p w:rsidR="004A64A8" w:rsidRPr="0018019D" w:rsidRDefault="004A64A8" w:rsidP="004D3B6D">
      <w:pPr>
        <w:autoSpaceDE w:val="0"/>
        <w:autoSpaceDN w:val="0"/>
        <w:adjustRightInd w:val="0"/>
        <w:spacing w:after="0" w:line="240" w:lineRule="auto"/>
        <w:rPr>
          <w:rFonts w:ascii="Times New Roman" w:hAnsi="Times New Roman"/>
          <w:sz w:val="24"/>
          <w:szCs w:val="24"/>
        </w:rPr>
      </w:pPr>
    </w:p>
    <w:p w:rsidR="004A64A8" w:rsidRPr="0018019D" w:rsidRDefault="004A64A8" w:rsidP="00937995">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 xml:space="preserve"> A partir de la segunda mitad del año 2008, la situación cambio; gracias a los altos precios  se estimulo la producción y se expandió el uso de tierra cultivable. El aumento de la producción durante el 2008/2009 fue claramente un importante factor en aumento de los stocks. Como podemos observar en la tabla,  el aumento en la producción mundial  de trigo fue gracias a una expansión de los tierras para cultivarlos (2.7%) pero sobretodo por una mayor productividad (8.9%)  </w:t>
      </w:r>
    </w:p>
    <w:p w:rsidR="004A64A8" w:rsidRPr="0018019D" w:rsidRDefault="004A64A8" w:rsidP="00937995">
      <w:pPr>
        <w:autoSpaceDE w:val="0"/>
        <w:autoSpaceDN w:val="0"/>
        <w:adjustRightInd w:val="0"/>
        <w:spacing w:after="0" w:line="240" w:lineRule="auto"/>
        <w:rPr>
          <w:rFonts w:ascii="Times New Roman" w:hAnsi="Times New Roman"/>
          <w:b/>
          <w:bCs/>
          <w:sz w:val="24"/>
          <w:szCs w:val="24"/>
          <w:lang w:val="en-US"/>
        </w:rPr>
      </w:pPr>
      <w:r w:rsidRPr="00F02DBC">
        <w:rPr>
          <w:rFonts w:ascii="Times New Roman" w:hAnsi="Times New Roman"/>
          <w:b/>
          <w:noProof/>
          <w:sz w:val="24"/>
          <w:szCs w:val="24"/>
          <w:lang w:eastAsia="es-ES"/>
        </w:rPr>
        <w:pict>
          <v:shape id="_x0000_i1027" type="#_x0000_t75" style="width:421.5pt;height:174.75pt;visibility:visible">
            <v:imagedata r:id="rId9" o:title=""/>
          </v:shape>
        </w:pict>
      </w:r>
    </w:p>
    <w:p w:rsidR="004A64A8" w:rsidRPr="0018019D" w:rsidRDefault="004A64A8" w:rsidP="00937995">
      <w:pPr>
        <w:autoSpaceDE w:val="0"/>
        <w:autoSpaceDN w:val="0"/>
        <w:adjustRightInd w:val="0"/>
        <w:spacing w:after="0" w:line="240" w:lineRule="auto"/>
        <w:rPr>
          <w:rFonts w:ascii="Times New Roman" w:hAnsi="Times New Roman"/>
          <w:sz w:val="24"/>
          <w:szCs w:val="24"/>
          <w:lang w:val="en-US"/>
        </w:rPr>
      </w:pPr>
    </w:p>
    <w:p w:rsidR="004A64A8" w:rsidRPr="0018019D" w:rsidRDefault="004A64A8" w:rsidP="00937995">
      <w:pPr>
        <w:autoSpaceDE w:val="0"/>
        <w:autoSpaceDN w:val="0"/>
        <w:adjustRightInd w:val="0"/>
        <w:spacing w:after="0" w:line="240" w:lineRule="auto"/>
        <w:rPr>
          <w:rFonts w:ascii="Times New Roman" w:hAnsi="Times New Roman"/>
          <w:sz w:val="24"/>
          <w:szCs w:val="24"/>
        </w:rPr>
      </w:pPr>
      <w:r w:rsidRPr="00F02DBC">
        <w:rPr>
          <w:rFonts w:ascii="Times New Roman" w:hAnsi="Times New Roman"/>
          <w:noProof/>
          <w:sz w:val="24"/>
          <w:szCs w:val="24"/>
          <w:lang w:eastAsia="es-ES"/>
        </w:rPr>
        <w:pict>
          <v:shape id="Imagen 1" o:spid="_x0000_i1028" type="#_x0000_t75" style="width:417.75pt;height:177pt;visibility:visible">
            <v:imagedata r:id="rId10" o:title=""/>
          </v:shape>
        </w:pict>
      </w:r>
    </w:p>
    <w:p w:rsidR="004A64A8" w:rsidRPr="0018019D" w:rsidRDefault="004A64A8" w:rsidP="00937995">
      <w:pPr>
        <w:autoSpaceDE w:val="0"/>
        <w:autoSpaceDN w:val="0"/>
        <w:adjustRightInd w:val="0"/>
        <w:spacing w:after="0" w:line="240" w:lineRule="auto"/>
        <w:rPr>
          <w:rFonts w:ascii="Times New Roman" w:hAnsi="Times New Roman"/>
          <w:sz w:val="24"/>
          <w:szCs w:val="24"/>
        </w:rPr>
      </w:pPr>
    </w:p>
    <w:p w:rsidR="004A64A8" w:rsidRPr="0018019D" w:rsidRDefault="004A64A8" w:rsidP="00937995">
      <w:pPr>
        <w:autoSpaceDE w:val="0"/>
        <w:autoSpaceDN w:val="0"/>
        <w:adjustRightInd w:val="0"/>
        <w:spacing w:after="0" w:line="240" w:lineRule="auto"/>
        <w:rPr>
          <w:rFonts w:ascii="Times New Roman" w:hAnsi="Times New Roman"/>
          <w:sz w:val="24"/>
          <w:szCs w:val="24"/>
        </w:rPr>
      </w:pPr>
    </w:p>
    <w:p w:rsidR="004A64A8" w:rsidRPr="0018019D" w:rsidRDefault="004A64A8" w:rsidP="00937995">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 xml:space="preserve">Otro factor específico del mercado de alimentos y que se dio durante el periodo de la alta subida de los precios fue las restricciones al comercio por varios países exportadores. Restricciones al comercio por los países exportadores </w:t>
      </w:r>
    </w:p>
    <w:p w:rsidR="004A64A8" w:rsidRPr="0018019D" w:rsidRDefault="004A64A8" w:rsidP="00937995">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 xml:space="preserve"> Las restricciones a las exportaciones de alimentos por varios países (China, India, Vietnam, Pakistán...) la introducción de medida</w:t>
      </w:r>
      <w:r>
        <w:rPr>
          <w:rFonts w:ascii="Times New Roman" w:hAnsi="Times New Roman"/>
          <w:sz w:val="24"/>
          <w:szCs w:val="24"/>
        </w:rPr>
        <w:t>s</w:t>
      </w:r>
      <w:r w:rsidRPr="0018019D">
        <w:rPr>
          <w:rFonts w:ascii="Times New Roman" w:hAnsi="Times New Roman"/>
          <w:sz w:val="24"/>
          <w:szCs w:val="24"/>
        </w:rPr>
        <w:t xml:space="preserve"> proteccionistas sobre el arroz por países como China o India, así como las restricciones a la exportación del trigo por parte de Argentina, Pakistán o Rusia disminuyeron la oferta mundial y dejaron las reservas en estado crítico lo que incremento la tensión mundial con respecto al abastecimiento. </w:t>
      </w:r>
    </w:p>
    <w:p w:rsidR="004A64A8" w:rsidRPr="0018019D" w:rsidRDefault="004A64A8" w:rsidP="00937995">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 xml:space="preserve"> Esto pudo ser un factor determinante en la subida de los precios sin embargo el comercio y la compra no disminuyo por lo que se intuye que detrás hubo más elementos influyentes en el comportamiento de la demanda. La cuestión es si estas restricciones estuvieron motivadas por la necesidad real de abastecimiento o si por el contrario respondían a una estrategia de mercado para disminuir la oferta y aumentar todavía más los precios aprovechando la incipiente especulación con futuros sobre los alimentos. . Según el informe de ERC estas medidas proteccionistas fueron una manera de combatir la creciente inflación de los países exportadores. </w:t>
      </w:r>
    </w:p>
    <w:p w:rsidR="004A64A8" w:rsidRPr="0018019D" w:rsidRDefault="004A64A8" w:rsidP="00937995">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Por otro lado los altos precios motivaron la reducción e incluso la eliminación de los impuestos a las importaciones lo que aumento todavía más la demanda. Muchos países han ajustado sus políticas comerciales y de consumo en respuesta al aumento de los precios internacionales.</w:t>
      </w:r>
    </w:p>
    <w:p w:rsidR="004A64A8" w:rsidRPr="0018019D" w:rsidRDefault="004A64A8" w:rsidP="00937995">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 xml:space="preserve">El siguiente gráfico  muestra, a mayo de 2008, el número de países que adoptaron </w:t>
      </w:r>
    </w:p>
    <w:p w:rsidR="004A64A8" w:rsidRPr="0018019D" w:rsidRDefault="004A64A8" w:rsidP="00937995">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políticas para responder al aumento de los precios de los alimentos. La mayoría de los</w:t>
      </w:r>
    </w:p>
    <w:p w:rsidR="004A64A8" w:rsidRPr="0018019D" w:rsidRDefault="004A64A8" w:rsidP="00937995">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 xml:space="preserve">países de la muestra modificaron  sus políticas comerciales y de consumo con miras a mitigar el impacto del aumento de los precios en los consumidores. </w:t>
      </w:r>
    </w:p>
    <w:p w:rsidR="004A64A8" w:rsidRPr="0018019D" w:rsidRDefault="004A64A8" w:rsidP="00937995">
      <w:pPr>
        <w:rPr>
          <w:rFonts w:ascii="Times New Roman" w:hAnsi="Times New Roman"/>
          <w:sz w:val="24"/>
          <w:szCs w:val="24"/>
        </w:rPr>
      </w:pPr>
    </w:p>
    <w:p w:rsidR="004A64A8" w:rsidRPr="0018019D" w:rsidRDefault="004A64A8" w:rsidP="00937995">
      <w:pPr>
        <w:rPr>
          <w:rFonts w:ascii="Times New Roman" w:hAnsi="Times New Roman"/>
          <w:sz w:val="24"/>
          <w:szCs w:val="24"/>
        </w:rPr>
      </w:pPr>
      <w:r w:rsidRPr="00F02DBC">
        <w:rPr>
          <w:rFonts w:ascii="Times New Roman" w:hAnsi="Times New Roman"/>
          <w:noProof/>
          <w:sz w:val="24"/>
          <w:szCs w:val="24"/>
          <w:lang w:eastAsia="es-ES"/>
        </w:rPr>
        <w:pict>
          <v:shape id="_x0000_i1029" type="#_x0000_t75" style="width:422.25pt;height:129pt;visibility:visible">
            <v:imagedata r:id="rId11" o:title=""/>
          </v:shape>
        </w:pict>
      </w:r>
    </w:p>
    <w:p w:rsidR="004A64A8" w:rsidRPr="0018019D" w:rsidRDefault="004A64A8" w:rsidP="00937995">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 xml:space="preserve"> Sin embargo debemos tener en cuenta que si bien </w:t>
      </w:r>
      <w:r>
        <w:rPr>
          <w:rFonts w:ascii="Times New Roman" w:hAnsi="Times New Roman"/>
          <w:sz w:val="24"/>
          <w:szCs w:val="24"/>
        </w:rPr>
        <w:t>C</w:t>
      </w:r>
      <w:r w:rsidRPr="0018019D">
        <w:rPr>
          <w:rFonts w:ascii="Times New Roman" w:hAnsi="Times New Roman"/>
          <w:sz w:val="24"/>
          <w:szCs w:val="24"/>
        </w:rPr>
        <w:t>hina e India son importantes productores y consumidores de trigo, no han participado de manera considerable en el mercado mundial durante los últimos años. Podemos observar en el gráfico el nivel insignificant</w:t>
      </w:r>
      <w:r>
        <w:rPr>
          <w:rFonts w:ascii="Times New Roman" w:hAnsi="Times New Roman"/>
          <w:sz w:val="24"/>
          <w:szCs w:val="24"/>
        </w:rPr>
        <w:t>e</w:t>
      </w:r>
      <w:r w:rsidRPr="0018019D">
        <w:rPr>
          <w:rFonts w:ascii="Times New Roman" w:hAnsi="Times New Roman"/>
          <w:sz w:val="24"/>
          <w:szCs w:val="24"/>
        </w:rPr>
        <w:t xml:space="preserve"> de comercio de trigo por parte de China. Por otra parte India básicamente consume lo que produce, comercializando únicamente una pequeña cantidad en caso de exceso de producción. Además ninguno de estos dos países mostró  un aumento desproporcionado en el consumo que pudiese causar los altos precios mundiales. Es por eso que la influencia que tuvieron China e India sobre el aumento de los precios fue más que limitado. </w:t>
      </w:r>
    </w:p>
    <w:p w:rsidR="004A64A8" w:rsidRPr="0018019D" w:rsidRDefault="004A64A8" w:rsidP="00937995">
      <w:pPr>
        <w:autoSpaceDE w:val="0"/>
        <w:autoSpaceDN w:val="0"/>
        <w:adjustRightInd w:val="0"/>
        <w:spacing w:after="0" w:line="240" w:lineRule="auto"/>
        <w:rPr>
          <w:rFonts w:ascii="Times New Roman" w:hAnsi="Times New Roman"/>
          <w:sz w:val="24"/>
          <w:szCs w:val="24"/>
        </w:rPr>
      </w:pPr>
    </w:p>
    <w:p w:rsidR="004A64A8" w:rsidRPr="0018019D" w:rsidRDefault="004A64A8" w:rsidP="00937995">
      <w:pPr>
        <w:rPr>
          <w:rFonts w:ascii="Times New Roman" w:hAnsi="Times New Roman"/>
          <w:sz w:val="24"/>
          <w:szCs w:val="24"/>
        </w:rPr>
      </w:pPr>
      <w:r w:rsidRPr="00F02DBC">
        <w:rPr>
          <w:rFonts w:ascii="Times New Roman" w:hAnsi="Times New Roman"/>
          <w:noProof/>
          <w:sz w:val="24"/>
          <w:szCs w:val="24"/>
          <w:lang w:eastAsia="es-ES"/>
        </w:rPr>
        <w:pict>
          <v:shape id="_x0000_i1030" type="#_x0000_t75" style="width:420.75pt;height:260.25pt;visibility:visible">
            <v:imagedata r:id="rId12" o:title=""/>
          </v:shape>
        </w:pict>
      </w:r>
    </w:p>
    <w:p w:rsidR="004A64A8" w:rsidRPr="0018019D" w:rsidRDefault="004A64A8" w:rsidP="00937995">
      <w:pPr>
        <w:rPr>
          <w:rFonts w:ascii="Times New Roman" w:hAnsi="Times New Roman"/>
          <w:sz w:val="24"/>
          <w:szCs w:val="24"/>
        </w:rPr>
      </w:pPr>
    </w:p>
    <w:p w:rsidR="004A64A8" w:rsidRPr="0018019D" w:rsidRDefault="004A64A8" w:rsidP="00937995">
      <w:pPr>
        <w:rPr>
          <w:rFonts w:ascii="Times New Roman" w:hAnsi="Times New Roman"/>
          <w:sz w:val="24"/>
          <w:szCs w:val="24"/>
          <w:u w:val="single"/>
        </w:rPr>
      </w:pPr>
    </w:p>
    <w:p w:rsidR="004A64A8" w:rsidRPr="0018019D" w:rsidRDefault="004A64A8" w:rsidP="00937995">
      <w:pPr>
        <w:rPr>
          <w:rFonts w:ascii="Times New Roman" w:hAnsi="Times New Roman"/>
          <w:sz w:val="24"/>
          <w:szCs w:val="24"/>
        </w:rPr>
      </w:pPr>
      <w:r w:rsidRPr="0018019D">
        <w:rPr>
          <w:rFonts w:ascii="Times New Roman" w:hAnsi="Times New Roman"/>
          <w:sz w:val="24"/>
          <w:szCs w:val="24"/>
          <w:u w:val="single"/>
        </w:rPr>
        <w:t>COMPRA MASIVA ‘PANIC BUYING’</w:t>
      </w:r>
      <w:r w:rsidRPr="0018019D">
        <w:rPr>
          <w:rFonts w:ascii="Times New Roman" w:hAnsi="Times New Roman"/>
          <w:sz w:val="24"/>
          <w:szCs w:val="24"/>
        </w:rPr>
        <w:tab/>
      </w:r>
    </w:p>
    <w:p w:rsidR="004A64A8" w:rsidRPr="0018019D" w:rsidRDefault="004A64A8" w:rsidP="00EB3AC3">
      <w:pPr>
        <w:rPr>
          <w:rFonts w:ascii="Times New Roman" w:hAnsi="Times New Roman"/>
          <w:sz w:val="24"/>
          <w:szCs w:val="24"/>
        </w:rPr>
      </w:pPr>
      <w:r w:rsidRPr="0018019D">
        <w:rPr>
          <w:rFonts w:ascii="Times New Roman" w:hAnsi="Times New Roman"/>
          <w:sz w:val="24"/>
          <w:szCs w:val="24"/>
        </w:rPr>
        <w:t xml:space="preserve"> Las restricciones al comercio por parte de ciertos países así como el bajo nivel de existencias pudieron tener efectos indirectos mucho más importantes que los derivados de la restricción de la oferta. La preocupación por el futuro abastecimiento de alimentos pudieron desatar el ‘panic-buying’ lo que estimulo de manera desproporcionada la demanda, ayudando así a incrementar todavía más los precios. Además muchos países importadores comenzaron a comprar grandes cantidades en el mercado, lo que tradicionalmente compraban a lo largo de un año comenzaron a comprarlo en tan solo un mes. A diferencia de lo que ocurre con el petróleo, la producción alimenticia no está garantizada (aun siendo un oligopolio, la OPEP garantiza un determinado suministro y los precios son establecidos y anunciados con anterioridad)  y depende de muchos países lo que genera mucha incertidumbre y al igual que con el petróleo además depende de la especulación del mercado lo que genera todavía más volatilidad. </w:t>
      </w:r>
    </w:p>
    <w:p w:rsidR="004A64A8" w:rsidRPr="0018019D" w:rsidRDefault="004A64A8" w:rsidP="00937995">
      <w:pPr>
        <w:autoSpaceDE w:val="0"/>
        <w:autoSpaceDN w:val="0"/>
        <w:adjustRightInd w:val="0"/>
        <w:spacing w:after="0" w:line="240" w:lineRule="auto"/>
        <w:rPr>
          <w:rFonts w:ascii="Times New Roman" w:hAnsi="Times New Roman"/>
          <w:sz w:val="24"/>
          <w:szCs w:val="24"/>
        </w:rPr>
      </w:pPr>
    </w:p>
    <w:p w:rsidR="004A64A8" w:rsidRPr="0018019D" w:rsidRDefault="004A64A8" w:rsidP="00EB3AC3">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 xml:space="preserve">De hecho como respuesta a la inflación de los precios de los alimentos y  a la reducción de stocks, más países comenzaron a restringir sus exportaciones (Egipto, Brasil, Camboya). Por otro lado los países importadores redujeron las tarifas y aranceles a la importación para estimular la importación de productos alimentarios. La repercusión mediática que tuvieron estas restricciones al comercio, aumentó la preocupación de los compradores pero atrajo también a nuevos compradores, cuyo fin en muchos casos fue la especulación. </w:t>
      </w:r>
    </w:p>
    <w:p w:rsidR="004A64A8" w:rsidRPr="0018019D" w:rsidRDefault="004A64A8" w:rsidP="00EB3AC3">
      <w:pPr>
        <w:autoSpaceDE w:val="0"/>
        <w:autoSpaceDN w:val="0"/>
        <w:adjustRightInd w:val="0"/>
        <w:spacing w:after="0" w:line="240" w:lineRule="auto"/>
        <w:rPr>
          <w:rFonts w:ascii="Times New Roman" w:hAnsi="Times New Roman"/>
          <w:sz w:val="24"/>
          <w:szCs w:val="24"/>
        </w:rPr>
      </w:pPr>
    </w:p>
    <w:p w:rsidR="004A64A8" w:rsidRPr="0018019D" w:rsidRDefault="004A64A8" w:rsidP="00EB3AC3">
      <w:pPr>
        <w:autoSpaceDE w:val="0"/>
        <w:autoSpaceDN w:val="0"/>
        <w:adjustRightInd w:val="0"/>
        <w:spacing w:after="0" w:line="240" w:lineRule="auto"/>
        <w:rPr>
          <w:rFonts w:ascii="Times New Roman" w:hAnsi="Times New Roman"/>
          <w:sz w:val="24"/>
          <w:szCs w:val="24"/>
          <w:u w:val="single"/>
        </w:rPr>
      </w:pPr>
    </w:p>
    <w:p w:rsidR="004A64A8" w:rsidRPr="0018019D" w:rsidRDefault="004A64A8" w:rsidP="00EB3AC3">
      <w:pPr>
        <w:autoSpaceDE w:val="0"/>
        <w:autoSpaceDN w:val="0"/>
        <w:adjustRightInd w:val="0"/>
        <w:spacing w:after="0" w:line="240" w:lineRule="auto"/>
        <w:rPr>
          <w:rFonts w:ascii="Times New Roman" w:hAnsi="Times New Roman"/>
          <w:sz w:val="24"/>
          <w:szCs w:val="24"/>
          <w:u w:val="single"/>
        </w:rPr>
      </w:pPr>
      <w:r w:rsidRPr="0018019D">
        <w:rPr>
          <w:rFonts w:ascii="Times New Roman" w:hAnsi="Times New Roman"/>
          <w:sz w:val="24"/>
          <w:szCs w:val="24"/>
          <w:u w:val="single"/>
        </w:rPr>
        <w:t>El PRECIO DEL PETRÓLEO y LA ESPECULACIÓN</w:t>
      </w:r>
    </w:p>
    <w:p w:rsidR="004A64A8" w:rsidRPr="0018019D" w:rsidRDefault="004A64A8" w:rsidP="00EB3AC3">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 xml:space="preserve">El precio del petróleo, la producción de biocombustibles y la especulación. </w:t>
      </w:r>
    </w:p>
    <w:p w:rsidR="004A64A8" w:rsidRPr="0018019D" w:rsidRDefault="004A64A8" w:rsidP="00282D6A">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El aumento del precio del petróleo tiene varias consecuencias macroeconómicas que incluyen de manera directa e indirect</w:t>
      </w:r>
      <w:r>
        <w:rPr>
          <w:rFonts w:ascii="Times New Roman" w:hAnsi="Times New Roman"/>
          <w:sz w:val="24"/>
          <w:szCs w:val="24"/>
        </w:rPr>
        <w:t>a</w:t>
      </w:r>
      <w:r w:rsidRPr="0018019D">
        <w:rPr>
          <w:rFonts w:ascii="Times New Roman" w:hAnsi="Times New Roman"/>
          <w:sz w:val="24"/>
          <w:szCs w:val="24"/>
        </w:rPr>
        <w:t xml:space="preserve"> sobre el precio de los alimentos</w:t>
      </w:r>
      <w:r>
        <w:rPr>
          <w:rFonts w:ascii="Times New Roman" w:hAnsi="Times New Roman"/>
          <w:sz w:val="24"/>
          <w:szCs w:val="24"/>
        </w:rPr>
        <w:t>.</w:t>
      </w:r>
      <w:r w:rsidRPr="0018019D">
        <w:rPr>
          <w:rFonts w:ascii="Times New Roman" w:hAnsi="Times New Roman"/>
          <w:sz w:val="24"/>
          <w:szCs w:val="24"/>
        </w:rPr>
        <w:t xml:space="preserve"> </w:t>
      </w:r>
    </w:p>
    <w:p w:rsidR="004A64A8" w:rsidRPr="0018019D" w:rsidRDefault="004A64A8" w:rsidP="00282D6A">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 xml:space="preserve">Por una parte un incremento el precio del crudo, hace que la gasolina sea más cara los que incrementa los incentivos para invertir en la producción de etanol lo que aumenta la demanda </w:t>
      </w:r>
      <w:r>
        <w:rPr>
          <w:rFonts w:ascii="Times New Roman" w:hAnsi="Times New Roman"/>
          <w:sz w:val="24"/>
          <w:szCs w:val="24"/>
        </w:rPr>
        <w:t>de</w:t>
      </w:r>
      <w:r w:rsidRPr="0018019D">
        <w:rPr>
          <w:rFonts w:ascii="Times New Roman" w:hAnsi="Times New Roman"/>
          <w:sz w:val="24"/>
          <w:szCs w:val="24"/>
        </w:rPr>
        <w:t xml:space="preserve"> ciertos cereales, lo que provoca el incremento de sus precios. </w:t>
      </w:r>
    </w:p>
    <w:p w:rsidR="004A64A8" w:rsidRPr="0018019D" w:rsidRDefault="004A64A8" w:rsidP="00EB3AC3">
      <w:pPr>
        <w:autoSpaceDE w:val="0"/>
        <w:autoSpaceDN w:val="0"/>
        <w:adjustRightInd w:val="0"/>
        <w:spacing w:after="0" w:line="240" w:lineRule="auto"/>
        <w:rPr>
          <w:rFonts w:ascii="Times New Roman" w:hAnsi="Times New Roman"/>
          <w:sz w:val="24"/>
          <w:szCs w:val="24"/>
        </w:rPr>
      </w:pPr>
    </w:p>
    <w:p w:rsidR="004A64A8" w:rsidRPr="0018019D" w:rsidRDefault="004A64A8" w:rsidP="00BA1FA3">
      <w:pPr>
        <w:rPr>
          <w:rFonts w:ascii="Times New Roman" w:hAnsi="Times New Roman"/>
          <w:sz w:val="24"/>
          <w:szCs w:val="24"/>
        </w:rPr>
      </w:pPr>
      <w:r w:rsidRPr="0018019D">
        <w:rPr>
          <w:rFonts w:ascii="Times New Roman" w:hAnsi="Times New Roman"/>
          <w:sz w:val="24"/>
          <w:szCs w:val="24"/>
        </w:rPr>
        <w:t>El precio del petróleo estuvo determinado por una gran volatilidad durante el año 2008. Tras alcanzar un máximo histórico en julio de ese mismo año de 147 dólares por barril, (WTI) su precio se desplomo hasta los 40 dólares que alcanzó en diciembre. La volatilidad de los precios del crudo y su repercusión a través de diversos canales, afectaron de forma importante la economía mundial. Varios estudios demuestran que detrás de esta espectacular subida de precios, la especulación fue un factor muy determinante. Al igual que ocurre con los alimentos, este mercado presenta un elasticidad baja de la demanda, crecimiento continuado de la demanda y producción mundial limitada, que presionan los precios al alza y animaron la especulación en este tipo de activos desde el 2006 hasta el 2008. Precisamente el precio de los alimentos siguió una evolución paralela a la del petróleo, como podemos comprobar  el volumen de contratación de futuros y opciones aumentó espectacularmente desde junio del 2007 hasta junio del 2008 a partir de aquí el volumen cae de forma drástica, al igual que lo hicieron los precios mundiales de los alimentos y la crisis económica se expandía por todos los mercados.</w:t>
      </w:r>
      <w:r w:rsidRPr="0018019D">
        <w:rPr>
          <w:rFonts w:ascii="Times New Roman" w:hAnsi="Times New Roman"/>
          <w:color w:val="000000"/>
          <w:sz w:val="24"/>
          <w:szCs w:val="24"/>
        </w:rPr>
        <w:t xml:space="preserve"> </w:t>
      </w:r>
    </w:p>
    <w:p w:rsidR="004A64A8" w:rsidRPr="0018019D" w:rsidRDefault="004A64A8" w:rsidP="003E15EB">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 xml:space="preserve">El volumen medio de contratos de futuros desde </w:t>
      </w:r>
      <w:r>
        <w:rPr>
          <w:rFonts w:ascii="Times New Roman" w:hAnsi="Times New Roman"/>
          <w:sz w:val="24"/>
          <w:szCs w:val="24"/>
        </w:rPr>
        <w:t>e</w:t>
      </w:r>
      <w:r w:rsidRPr="0018019D">
        <w:rPr>
          <w:rFonts w:ascii="Times New Roman" w:hAnsi="Times New Roman"/>
          <w:sz w:val="24"/>
          <w:szCs w:val="24"/>
        </w:rPr>
        <w:t xml:space="preserve">nero hasta </w:t>
      </w:r>
      <w:r>
        <w:rPr>
          <w:rFonts w:ascii="Times New Roman" w:hAnsi="Times New Roman"/>
          <w:sz w:val="24"/>
          <w:szCs w:val="24"/>
        </w:rPr>
        <w:t>d</w:t>
      </w:r>
      <w:r w:rsidRPr="0018019D">
        <w:rPr>
          <w:rFonts w:ascii="Times New Roman" w:hAnsi="Times New Roman"/>
          <w:sz w:val="24"/>
          <w:szCs w:val="24"/>
        </w:rPr>
        <w:t>iciembre</w:t>
      </w:r>
      <w:r>
        <w:rPr>
          <w:rFonts w:ascii="Times New Roman" w:hAnsi="Times New Roman"/>
          <w:sz w:val="24"/>
          <w:szCs w:val="24"/>
        </w:rPr>
        <w:t xml:space="preserve"> del 2008 para granos y semillas oleaginosas [‘oilseeds’]</w:t>
      </w:r>
      <w:r w:rsidRPr="0018019D">
        <w:rPr>
          <w:rFonts w:ascii="Times New Roman" w:hAnsi="Times New Roman"/>
          <w:sz w:val="24"/>
          <w:szCs w:val="24"/>
        </w:rPr>
        <w:t xml:space="preserve"> fue de  582.807 contratos, un 10.19% más que el mismo periodo del 2007, los contratos de opciones aumentaron por su parte un 28.10%. </w:t>
      </w:r>
      <w:r w:rsidRPr="00FA1401">
        <w:rPr>
          <w:rFonts w:ascii="Times New Roman" w:hAnsi="Times New Roman"/>
          <w:sz w:val="24"/>
          <w:szCs w:val="24"/>
          <w:highlight w:val="cyan"/>
        </w:rPr>
        <w:t>Además la contratación electrónica superó la contratación tradicional de subasta abierta, lo que soporta la idea de que nuevos inversores entraron en el mercado, posiblemente para especular con el precio de los alimentos.</w:t>
      </w:r>
      <w:r w:rsidRPr="0018019D">
        <w:rPr>
          <w:rFonts w:ascii="Times New Roman" w:hAnsi="Times New Roman"/>
          <w:sz w:val="24"/>
          <w:szCs w:val="24"/>
        </w:rPr>
        <w:t xml:space="preserve"> </w:t>
      </w:r>
    </w:p>
    <w:p w:rsidR="004A64A8" w:rsidRPr="0018019D" w:rsidRDefault="004A64A8" w:rsidP="003E15EB">
      <w:pPr>
        <w:autoSpaceDE w:val="0"/>
        <w:autoSpaceDN w:val="0"/>
        <w:adjustRightInd w:val="0"/>
        <w:spacing w:after="0" w:line="240" w:lineRule="auto"/>
        <w:rPr>
          <w:rFonts w:ascii="Times New Roman" w:hAnsi="Times New Roman"/>
          <w:sz w:val="24"/>
          <w:szCs w:val="24"/>
        </w:rPr>
      </w:pPr>
    </w:p>
    <w:p w:rsidR="004A64A8" w:rsidRPr="0018019D" w:rsidRDefault="004A64A8" w:rsidP="003E15EB">
      <w:pPr>
        <w:autoSpaceDE w:val="0"/>
        <w:autoSpaceDN w:val="0"/>
        <w:adjustRightInd w:val="0"/>
        <w:spacing w:after="0" w:line="240" w:lineRule="auto"/>
        <w:rPr>
          <w:rFonts w:ascii="Times New Roman" w:hAnsi="Times New Roman"/>
          <w:sz w:val="24"/>
          <w:szCs w:val="24"/>
        </w:rPr>
      </w:pPr>
      <w:r w:rsidRPr="00F02DBC">
        <w:rPr>
          <w:rFonts w:ascii="Times New Roman" w:hAnsi="Times New Roman"/>
          <w:noProof/>
          <w:sz w:val="24"/>
          <w:szCs w:val="24"/>
          <w:lang w:eastAsia="es-ES"/>
        </w:rPr>
        <w:pict>
          <v:shape id="_x0000_i1031" type="#_x0000_t75" style="width:421.5pt;height:272.25pt;visibility:visible">
            <v:imagedata r:id="rId13" o:title=""/>
          </v:shape>
        </w:pict>
      </w:r>
    </w:p>
    <w:p w:rsidR="004A64A8" w:rsidRPr="0018019D" w:rsidRDefault="004A64A8" w:rsidP="00BA1FA3">
      <w:pPr>
        <w:rPr>
          <w:rFonts w:ascii="Times New Roman" w:hAnsi="Times New Roman"/>
          <w:sz w:val="24"/>
          <w:szCs w:val="24"/>
        </w:rPr>
      </w:pPr>
      <w:r w:rsidRPr="00F02DBC">
        <w:rPr>
          <w:rFonts w:ascii="Times New Roman" w:hAnsi="Times New Roman"/>
          <w:noProof/>
          <w:sz w:val="24"/>
          <w:szCs w:val="24"/>
          <w:lang w:eastAsia="es-ES"/>
        </w:rPr>
        <w:pict>
          <v:shape id="_x0000_i1032" type="#_x0000_t75" style="width:415.5pt;height:268.5pt;visibility:visible">
            <v:imagedata r:id="rId14" o:title=""/>
          </v:shape>
        </w:pict>
      </w:r>
    </w:p>
    <w:p w:rsidR="004A64A8" w:rsidRPr="005B40FD" w:rsidRDefault="004A64A8" w:rsidP="00BA1FA3">
      <w:pPr>
        <w:rPr>
          <w:rFonts w:ascii="Times New Roman" w:hAnsi="Times New Roman"/>
          <w:sz w:val="24"/>
          <w:szCs w:val="24"/>
        </w:rPr>
      </w:pPr>
      <w:r w:rsidRPr="005B40FD">
        <w:rPr>
          <w:rFonts w:ascii="Times New Roman" w:hAnsi="Times New Roman"/>
          <w:sz w:val="24"/>
          <w:szCs w:val="24"/>
        </w:rPr>
        <w:t>Fuente:  Chicago Market Exchange.</w:t>
      </w:r>
    </w:p>
    <w:p w:rsidR="004A64A8" w:rsidRPr="0018019D" w:rsidRDefault="004A64A8" w:rsidP="00BA1FA3">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 xml:space="preserve">Otra hipótesis no contradictoria es el coste de producción. Durante ese periodo el precio de los factores de producción; los fertilizantes, la electricidad y la gasolina así como el trasporte (Coste de refrigeración) sufrieron considerables incrementos. También es consecuente con la hipótesis porque la mayoría de los otros bienes habían aumentado su precio. Además los elevados precios del petróleo, empeoraron las balanzas comerciales de los países importadores. </w:t>
      </w:r>
    </w:p>
    <w:p w:rsidR="004A64A8" w:rsidRPr="0018019D" w:rsidRDefault="004A64A8" w:rsidP="008F6C28">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 xml:space="preserve">El aumento del precio del fertilizante es importante en el precio final, el uso de fertilizantes es imprescindible para la mayoría de los agricultores. El uso mundial de fertilizantes ha aumentado más de un 60% desde 1960. En la segunda mitad del 2008, los precios de los fertilizantes disminuyeron debido a la bajada en el precio de las semillas y cereales, a la disminución de la demanda y de los precios del gas natural que ejercieron una presión a la baja en el precio de los mismos, lo que explica el comportamiento de los precios de los alimentos. </w:t>
      </w:r>
    </w:p>
    <w:p w:rsidR="004A64A8" w:rsidRPr="0018019D" w:rsidRDefault="004A64A8" w:rsidP="006753D8">
      <w:pPr>
        <w:autoSpaceDE w:val="0"/>
        <w:autoSpaceDN w:val="0"/>
        <w:adjustRightInd w:val="0"/>
        <w:spacing w:after="0" w:line="240" w:lineRule="auto"/>
        <w:rPr>
          <w:rFonts w:ascii="Times New Roman" w:hAnsi="Times New Roman"/>
          <w:i/>
          <w:iCs/>
          <w:sz w:val="24"/>
          <w:szCs w:val="24"/>
          <w:u w:val="single"/>
        </w:rPr>
      </w:pPr>
    </w:p>
    <w:p w:rsidR="004A64A8" w:rsidRPr="0018019D" w:rsidRDefault="004A64A8" w:rsidP="006753D8">
      <w:pPr>
        <w:autoSpaceDE w:val="0"/>
        <w:autoSpaceDN w:val="0"/>
        <w:adjustRightInd w:val="0"/>
        <w:spacing w:after="0" w:line="240" w:lineRule="auto"/>
        <w:rPr>
          <w:rFonts w:ascii="Times New Roman" w:hAnsi="Times New Roman"/>
          <w:sz w:val="24"/>
          <w:szCs w:val="24"/>
          <w:u w:val="single"/>
        </w:rPr>
      </w:pPr>
      <w:r w:rsidRPr="0018019D">
        <w:rPr>
          <w:rFonts w:ascii="Times New Roman" w:hAnsi="Times New Roman"/>
          <w:sz w:val="24"/>
          <w:szCs w:val="24"/>
          <w:u w:val="single"/>
        </w:rPr>
        <w:t>BIOCOMBUSTIBLES</w:t>
      </w:r>
    </w:p>
    <w:p w:rsidR="004A64A8" w:rsidRPr="0018019D" w:rsidRDefault="004A64A8" w:rsidP="006753D8">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Este parece ser otro factor influyente en la subida de los precios.  La subida histórica de los precios de petróleo y la falta de sustitutos energéticos, ha motivado el apoyo por varios países a la producción de biocombustibles líquidos; etanol y biodiesel. Esto ha supuesto un nuevo mercado para los productos agrícolas que además ha sido incentivado por los gobiernos de distintas maneras: apoyo a los insumos (subsidios a los fertilizantes riegos,…), a la producción (subsidios agrícolas internos, políticas comerciales, apoyo a los ingresos agrícolas...)  apoyo a la elaboración y comercialización (pagos vinculados a la producción, créditos, incentivos y exenciones fiscales, requisitos de uso obligatorio, políticas comerciales,  subsidios para la inversión de capital…)  y apoyo al consumo ( subsidios para la compra de biocombustibles y  coproductos,  exenciones fiscales como por ejemplo los peajes, ….. )</w:t>
      </w:r>
    </w:p>
    <w:p w:rsidR="004A64A8" w:rsidRPr="0018019D" w:rsidRDefault="004A64A8" w:rsidP="006753D8">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 xml:space="preserve">El hecho de que más de la mitad del coste de producción de los biocombustibles venga determinado por el precios de los alimentos ilustra la importancia que este nuevo mercado puede tener en la subida de los precios de los alimentos, y que las ayudas y los apoyos públicos para su producción, inciden de manera directa sobre la oferta y demanda en el mercado agrícola, y de manera indirecta mediante la utilización del suelo  motivando el aumento de los precios de manera no eficiente debido a las distorsiones que la intervención pública causa en los mercados . Así por ejemplo, en precio del maíz aumentó un 23% en el 2006 y un 60% más hasta el 2008, debido mayoritariamente al programa de Etanol de estados Unidos, impulsado por los subsidios y leyes favorables en el uso de energías renovables. De forma parecida otros cereales han aumentado su precio. </w:t>
      </w:r>
    </w:p>
    <w:p w:rsidR="004A64A8" w:rsidRPr="0018019D" w:rsidRDefault="004A64A8" w:rsidP="006753D8">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 xml:space="preserve">Tras la caída del precio del petróleo y de los alimentos, la producción de biocombustibles ha seguido, y si bien el menor precio de la energía puede desincentivar la producción de energías alternativas, la escasez futura hace que la inversión en los biocombustibles  un proyecto a largo plazo por tanto su producción debería incluso aumentar debido además al bajo precio actualmente de los alimentos. Así concluye la FAO de cuya reunión anual en Junio de 2008 llegaron a la concluso final de que; próxima década, los biocombustibles, a la vez que compensarán solo una parte modesta del consumo de energía fósil, tendrán efectos mucho más importantes en la agricultura y la seguridad alimentaria. La aparición de los  </w:t>
      </w:r>
    </w:p>
    <w:p w:rsidR="004A64A8" w:rsidRPr="0018019D" w:rsidRDefault="004A64A8" w:rsidP="006753D8">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nueva, e importante, fuente de  demanda de algunos productos básicos agrícolas</w:t>
      </w:r>
    </w:p>
    <w:p w:rsidR="004A64A8" w:rsidRPr="0018019D" w:rsidRDefault="004A64A8" w:rsidP="006753D8">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–incluidos el maíz, el azúcar, las semillas oleaginosas y el aceite de palma– contribuye</w:t>
      </w:r>
    </w:p>
    <w:p w:rsidR="004A64A8" w:rsidRPr="0018019D" w:rsidRDefault="004A64A8" w:rsidP="006753D8">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al aumento de los precios de los productos agrícolas en general, y de los recursos usados para producirlos.</w:t>
      </w:r>
    </w:p>
    <w:p w:rsidR="004A64A8" w:rsidRPr="0018019D" w:rsidRDefault="004A64A8" w:rsidP="006753D8">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 xml:space="preserve">El precio del petróleo no solo afecta el nivel de precios a través de la demanda en biocombustibles sino que es un factor importante para la producción (productos químicos agrícolas) y el trasporte de los alimentos. </w:t>
      </w:r>
    </w:p>
    <w:p w:rsidR="004A64A8" w:rsidRPr="0018019D" w:rsidRDefault="004A64A8" w:rsidP="006753D8">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Los resultados de la simulación en relación con los precios de los principales productos básicos agrícolas se muestran en la Figura 44. Una reducción a la mitad de los precios del petróleo daría lugar a una disminución significativa de los precios de los productos básicos agrícolas, entre el 21 por ciento y el 32 por ciento en 2010, dependiendo del producto básico. Por el contrario, una duplicación de los precios del petróleo provocaría un aumento de los precios que oscilaría entre</w:t>
      </w:r>
    </w:p>
    <w:p w:rsidR="004A64A8" w:rsidRPr="0018019D" w:rsidRDefault="004A64A8" w:rsidP="00BA1FA3">
      <w:pPr>
        <w:rPr>
          <w:rFonts w:ascii="Times New Roman" w:hAnsi="Times New Roman"/>
          <w:sz w:val="24"/>
          <w:szCs w:val="24"/>
          <w:u w:val="single"/>
        </w:rPr>
      </w:pPr>
    </w:p>
    <w:p w:rsidR="004A64A8" w:rsidRPr="0018019D" w:rsidRDefault="004A64A8" w:rsidP="00636A63">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Depreciación del dólar y desplazamiento del capital. (nuevos inversores  para el mercado de los alimentos en busca de mayor rentabilidad tras la caída del petróleo)</w:t>
      </w:r>
    </w:p>
    <w:p w:rsidR="004A64A8" w:rsidRPr="0018019D" w:rsidRDefault="004A64A8" w:rsidP="00016877">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 xml:space="preserve"> El dólar es la unidad monetaria de referencia en el comercio de los alimentos. La mayoría del precio de los bienes incluyendo el petróleo y las semillas  se establece en dólares pero se adquieren con la divisa local. Cuando el dólar cae, como lo ha hecho durante los últimos seis años  el precio de los bienes cuyo precio se establece en dólares  aumenta pues se incrementa la demanda.</w:t>
      </w:r>
    </w:p>
    <w:p w:rsidR="004A64A8" w:rsidRPr="0018019D" w:rsidRDefault="004A64A8" w:rsidP="002F109E">
      <w:pPr>
        <w:pStyle w:val="paracolourtext"/>
        <w:rPr>
          <w:b/>
          <w:bCs/>
          <w:color w:val="auto"/>
          <w:sz w:val="24"/>
          <w:szCs w:val="24"/>
        </w:rPr>
      </w:pPr>
      <w:bookmarkStart w:id="0" w:name="chart5"/>
      <w:bookmarkEnd w:id="0"/>
    </w:p>
    <w:p w:rsidR="004A64A8" w:rsidRPr="0018019D" w:rsidRDefault="004A64A8" w:rsidP="002F109E">
      <w:pPr>
        <w:pStyle w:val="paracolourtext"/>
        <w:rPr>
          <w:b/>
          <w:bCs/>
          <w:color w:val="auto"/>
          <w:sz w:val="24"/>
          <w:szCs w:val="24"/>
        </w:rPr>
      </w:pPr>
    </w:p>
    <w:p w:rsidR="004A64A8" w:rsidRPr="0018019D" w:rsidRDefault="004A64A8" w:rsidP="002F109E">
      <w:pPr>
        <w:pStyle w:val="paracolourtext"/>
        <w:rPr>
          <w:b/>
          <w:bCs/>
          <w:color w:val="auto"/>
          <w:sz w:val="24"/>
          <w:szCs w:val="24"/>
        </w:rPr>
      </w:pPr>
    </w:p>
    <w:p w:rsidR="004A64A8" w:rsidRPr="0018019D" w:rsidRDefault="004A64A8" w:rsidP="002F109E">
      <w:pPr>
        <w:pStyle w:val="paracolourtext"/>
        <w:rPr>
          <w:b/>
          <w:bCs/>
          <w:color w:val="auto"/>
          <w:sz w:val="24"/>
          <w:szCs w:val="24"/>
        </w:rPr>
      </w:pPr>
    </w:p>
    <w:p w:rsidR="004A64A8" w:rsidRPr="0018019D" w:rsidRDefault="004A64A8" w:rsidP="002F109E">
      <w:pPr>
        <w:pStyle w:val="paracolourtext"/>
        <w:rPr>
          <w:color w:val="auto"/>
          <w:sz w:val="24"/>
          <w:szCs w:val="24"/>
        </w:rPr>
      </w:pPr>
      <w:r w:rsidRPr="0018019D">
        <w:rPr>
          <w:b/>
          <w:bCs/>
          <w:color w:val="auto"/>
          <w:sz w:val="24"/>
          <w:szCs w:val="24"/>
        </w:rPr>
        <w:t>Evolución del dólar frente a algunas de las principales monedas, 2001-2007</w:t>
      </w:r>
      <w:r w:rsidRPr="0018019D">
        <w:rPr>
          <w:color w:val="auto"/>
          <w:sz w:val="24"/>
          <w:szCs w:val="24"/>
        </w:rPr>
        <w:br/>
        <w:t>Índices, enero de 2001=100</w:t>
      </w:r>
    </w:p>
    <w:p w:rsidR="004A64A8" w:rsidRPr="0018019D" w:rsidRDefault="004A64A8" w:rsidP="002F109E">
      <w:pPr>
        <w:pStyle w:val="paracolourtext"/>
        <w:rPr>
          <w:sz w:val="24"/>
          <w:szCs w:val="24"/>
        </w:rPr>
      </w:pPr>
      <w:r w:rsidRPr="00F02DBC">
        <w:rPr>
          <w:noProof/>
          <w:sz w:val="24"/>
          <w:szCs w:val="24"/>
        </w:rPr>
        <w:pict>
          <v:shape id="_x0000_i1033" type="#_x0000_t75" alt="http://www.wto.org/images/img_press/pr520_chart5_s.gif" style="width:431.25pt;height:208.5pt;visibility:visible">
            <v:imagedata r:id="rId15" o:title=""/>
          </v:shape>
        </w:pict>
      </w:r>
    </w:p>
    <w:p w:rsidR="004A64A8" w:rsidRPr="0018019D" w:rsidRDefault="004A64A8" w:rsidP="002F109E">
      <w:pPr>
        <w:pStyle w:val="parasmallcolourtext"/>
        <w:rPr>
          <w:color w:val="auto"/>
          <w:sz w:val="24"/>
          <w:szCs w:val="24"/>
        </w:rPr>
      </w:pPr>
      <w:r w:rsidRPr="0018019D">
        <w:rPr>
          <w:color w:val="auto"/>
          <w:sz w:val="24"/>
          <w:szCs w:val="24"/>
        </w:rPr>
        <w:t>Fuente: FMI, Estadísticas Financieras Internacionales.</w:t>
      </w:r>
    </w:p>
    <w:p w:rsidR="004A64A8" w:rsidRPr="0018019D" w:rsidRDefault="004A64A8" w:rsidP="00016877">
      <w:pPr>
        <w:autoSpaceDE w:val="0"/>
        <w:autoSpaceDN w:val="0"/>
        <w:adjustRightInd w:val="0"/>
        <w:spacing w:after="0" w:line="240" w:lineRule="auto"/>
        <w:rPr>
          <w:rFonts w:ascii="Times New Roman" w:hAnsi="Times New Roman"/>
          <w:sz w:val="24"/>
          <w:szCs w:val="24"/>
        </w:rPr>
      </w:pPr>
    </w:p>
    <w:p w:rsidR="004A64A8" w:rsidRPr="0018019D" w:rsidRDefault="004A64A8" w:rsidP="00016877">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 xml:space="preserve"> Por eso la caída del dólar aumento todavía más la demanda, lo que se puede interpretar como un comportamiento característico de los mercados en donde se especula (petróleo) </w:t>
      </w:r>
    </w:p>
    <w:p w:rsidR="004A64A8" w:rsidRPr="0018019D" w:rsidRDefault="004A64A8" w:rsidP="00BA1FA3">
      <w:pPr>
        <w:rPr>
          <w:rFonts w:ascii="Times New Roman" w:hAnsi="Times New Roman"/>
          <w:sz w:val="24"/>
          <w:szCs w:val="24"/>
        </w:rPr>
      </w:pPr>
    </w:p>
    <w:p w:rsidR="004A64A8" w:rsidRPr="0018019D" w:rsidRDefault="004A64A8" w:rsidP="00BA1FA3">
      <w:pPr>
        <w:rPr>
          <w:rFonts w:ascii="Times New Roman" w:hAnsi="Times New Roman"/>
          <w:sz w:val="24"/>
          <w:szCs w:val="24"/>
        </w:rPr>
      </w:pPr>
    </w:p>
    <w:p w:rsidR="004A64A8" w:rsidRPr="0018019D" w:rsidRDefault="004A64A8" w:rsidP="00BA1FA3">
      <w:pPr>
        <w:rPr>
          <w:rFonts w:ascii="Times New Roman" w:hAnsi="Times New Roman"/>
          <w:sz w:val="24"/>
          <w:szCs w:val="24"/>
        </w:rPr>
      </w:pPr>
    </w:p>
    <w:p w:rsidR="004A64A8" w:rsidRPr="005B40FD" w:rsidRDefault="004A64A8" w:rsidP="00BA1FA3">
      <w:pPr>
        <w:rPr>
          <w:rFonts w:ascii="Times New Roman" w:hAnsi="Times New Roman"/>
          <w:sz w:val="24"/>
          <w:szCs w:val="24"/>
          <w:u w:val="single"/>
        </w:rPr>
      </w:pPr>
      <w:r w:rsidRPr="005B40FD">
        <w:rPr>
          <w:rFonts w:ascii="Times New Roman" w:hAnsi="Times New Roman"/>
          <w:sz w:val="24"/>
          <w:szCs w:val="24"/>
          <w:u w:val="single"/>
        </w:rPr>
        <w:t xml:space="preserve">CONCLUSIONES </w:t>
      </w:r>
    </w:p>
    <w:p w:rsidR="004A64A8" w:rsidRPr="0018019D" w:rsidRDefault="004A64A8" w:rsidP="00D9409B">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 xml:space="preserve"> Cuáles fueron entonces los factores que motivaron la  subida de precios y que meses más tardes los hicieron caer drásticamente </w:t>
      </w:r>
    </w:p>
    <w:p w:rsidR="004A64A8" w:rsidRPr="0018019D" w:rsidRDefault="004A64A8" w:rsidP="00D9409B">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 xml:space="preserve">Los estudios anteriores a que se produjese la caída de precios apuntaban a la situación de oferta por una parte; Restricciones a las exportaciones, reducción de stocks debido a las malas cosechas) y brevemente al aumento de la demanda (compra masiva debido a la incertidumbre del mercado en ese momento, aumento del poder adquisitivo de ciertas economías en desarrollo). </w:t>
      </w:r>
    </w:p>
    <w:p w:rsidR="004A64A8" w:rsidRPr="0018019D" w:rsidRDefault="004A64A8" w:rsidP="00D9409B">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Como hemos visto, hay ciertos aspectos que podrían haber influido en el comportamiento de los precios como la reducción de los stocks, que más tarde aumentaron, o la compra masiva por parte de algunos gobiernos de alimentos que normalmente hubiesen hecho de forma escalonada a lo largo de año, y que por tanto pudo presionar los precios al alza. Sin embargo todos estos factores no terminan de explicar el cambio tan drástico.</w:t>
      </w:r>
    </w:p>
    <w:p w:rsidR="004A64A8" w:rsidRPr="0018019D" w:rsidRDefault="004A64A8" w:rsidP="0052284C">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Aquellos análisis que centraon su hipótesis en el hecho de que el consume creciese más rápido que la producción (Economic Research Services)  utilizaron como referencia a India o China. Estos países precisamente no son comerciantes  relevantes a nivel mundial en el mercado de la mayoría de los  bienes agrarios, básicamente sus políticas agrarias son de autosuficiencia y los precios mundiales se determinan entre aquellos que comercian. Por eso el hecho de que la demanda haya aumentado estos últimos años en China e India no es un factor determinante a la hora de explicar los precios mundiales. Si es cierto sin embargo que el rápido crecimiento de China y sus mayores importaciones de petróleo han tenido un efecto indirecto en el precio de los alimentos, al aumentar los precios del petróleo.</w:t>
      </w:r>
    </w:p>
    <w:p w:rsidR="004A64A8" w:rsidRPr="0018019D" w:rsidRDefault="004A64A8" w:rsidP="00AC434F">
      <w:pPr>
        <w:autoSpaceDE w:val="0"/>
        <w:autoSpaceDN w:val="0"/>
        <w:adjustRightInd w:val="0"/>
        <w:spacing w:after="0" w:line="240" w:lineRule="auto"/>
        <w:rPr>
          <w:rFonts w:ascii="Times New Roman" w:hAnsi="Times New Roman"/>
          <w:sz w:val="24"/>
          <w:szCs w:val="24"/>
        </w:rPr>
      </w:pPr>
    </w:p>
    <w:p w:rsidR="004A64A8" w:rsidRPr="0018019D" w:rsidRDefault="004A64A8" w:rsidP="00DB04C4">
      <w:pPr>
        <w:autoSpaceDE w:val="0"/>
        <w:autoSpaceDN w:val="0"/>
        <w:adjustRightInd w:val="0"/>
        <w:spacing w:after="0" w:line="240" w:lineRule="auto"/>
        <w:rPr>
          <w:rFonts w:ascii="Times New Roman" w:hAnsi="Times New Roman"/>
          <w:sz w:val="24"/>
          <w:szCs w:val="24"/>
        </w:rPr>
      </w:pPr>
    </w:p>
    <w:p w:rsidR="004A64A8" w:rsidRPr="0018019D" w:rsidRDefault="004A64A8" w:rsidP="0052284C">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Por otra parte si es cierto que los stocks alimentarios disminuyeron debido al mal tiempo y a diferentes tipos de plagas que afectaron a las cosechas durante los años 2006 y 2007. Pero lo que realmente pudo influir en la subida precios fue la reacción de muchos países de cerrar sus mercados a la exportación</w:t>
      </w:r>
    </w:p>
    <w:p w:rsidR="004A64A8" w:rsidRPr="005B40FD" w:rsidRDefault="004A64A8" w:rsidP="00DB04C4">
      <w:pPr>
        <w:autoSpaceDE w:val="0"/>
        <w:autoSpaceDN w:val="0"/>
        <w:adjustRightInd w:val="0"/>
        <w:spacing w:after="0" w:line="240" w:lineRule="auto"/>
        <w:rPr>
          <w:rFonts w:ascii="Times New Roman" w:hAnsi="Times New Roman"/>
          <w:sz w:val="24"/>
          <w:szCs w:val="24"/>
        </w:rPr>
      </w:pPr>
      <w:r w:rsidRPr="005B40FD">
        <w:rPr>
          <w:rFonts w:ascii="Times New Roman" w:hAnsi="Times New Roman"/>
          <w:sz w:val="24"/>
          <w:szCs w:val="24"/>
        </w:rPr>
        <w:t>.</w:t>
      </w:r>
    </w:p>
    <w:p w:rsidR="004A64A8" w:rsidRPr="0018019D" w:rsidRDefault="004A64A8" w:rsidP="00DB04C4">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Fueron otros factores entonces los que además de explicar la subida precio  pueden explicar también su caída. Estos factores son; la producción de biocombustibles, la depreciación del dólar y la especulación con productos agrarios. Hay que tener en cuenta también las circunstancias específicas del periodo; la recesión mundial ha alcanzado ya a todos los países y mercados.</w:t>
      </w:r>
    </w:p>
    <w:p w:rsidR="004A64A8" w:rsidRPr="0018019D" w:rsidRDefault="004A64A8" w:rsidP="00DB04C4">
      <w:pPr>
        <w:autoSpaceDE w:val="0"/>
        <w:autoSpaceDN w:val="0"/>
        <w:adjustRightInd w:val="0"/>
        <w:spacing w:after="0" w:line="240" w:lineRule="auto"/>
        <w:rPr>
          <w:rFonts w:ascii="Times New Roman" w:hAnsi="Times New Roman"/>
          <w:sz w:val="24"/>
          <w:szCs w:val="24"/>
        </w:rPr>
      </w:pPr>
    </w:p>
    <w:p w:rsidR="004A64A8" w:rsidRPr="0018019D" w:rsidRDefault="004A64A8" w:rsidP="0041664B">
      <w:pPr>
        <w:autoSpaceDE w:val="0"/>
        <w:autoSpaceDN w:val="0"/>
        <w:adjustRightInd w:val="0"/>
        <w:spacing w:after="0" w:line="240" w:lineRule="auto"/>
        <w:rPr>
          <w:rFonts w:ascii="Times New Roman" w:hAnsi="Times New Roman"/>
          <w:i/>
          <w:iCs/>
          <w:sz w:val="24"/>
          <w:szCs w:val="24"/>
        </w:rPr>
      </w:pPr>
      <w:r w:rsidRPr="0018019D">
        <w:rPr>
          <w:rFonts w:ascii="Times New Roman" w:hAnsi="Times New Roman"/>
          <w:sz w:val="24"/>
          <w:szCs w:val="24"/>
        </w:rPr>
        <w:t xml:space="preserve">Los biocombustibles han sido sin lugar a dudas unos elementos muy importantes a la hora de incrementar la demanda de ciertos cereales. Las industrias americanas y europeas de producción de biocombustibles se han desarrollado gracias a la ayuda de subsidios. Así por ejemplo, el aumento de la demanda global de maíz en los últimos cuatro años ha sido debido al incremento en el uso del etanol. </w:t>
      </w:r>
    </w:p>
    <w:p w:rsidR="004A64A8" w:rsidRPr="0018019D" w:rsidRDefault="004A64A8" w:rsidP="0041664B">
      <w:pPr>
        <w:autoSpaceDE w:val="0"/>
        <w:autoSpaceDN w:val="0"/>
        <w:adjustRightInd w:val="0"/>
        <w:spacing w:after="0" w:line="240" w:lineRule="auto"/>
        <w:rPr>
          <w:rFonts w:ascii="Times New Roman" w:hAnsi="Times New Roman"/>
          <w:sz w:val="24"/>
          <w:szCs w:val="24"/>
        </w:rPr>
      </w:pPr>
    </w:p>
    <w:p w:rsidR="004A64A8" w:rsidRPr="0018019D" w:rsidRDefault="004A64A8" w:rsidP="00CD64CA">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También fue importante la depreciación del dólar con respecto al euro y otras divisas. ya que tanto el precio del  petróleo como de  muchos bienes agrarios están establecido en dólares americanos pero se compran con la divisa nacional, por eso es  un elemento muy importante a la hora de analizar los motivos que presionaron al alza la demanda.</w:t>
      </w:r>
    </w:p>
    <w:p w:rsidR="004A64A8" w:rsidRPr="0018019D" w:rsidRDefault="004A64A8" w:rsidP="00CD64CA">
      <w:pPr>
        <w:autoSpaceDE w:val="0"/>
        <w:autoSpaceDN w:val="0"/>
        <w:adjustRightInd w:val="0"/>
        <w:spacing w:after="0" w:line="240" w:lineRule="auto"/>
        <w:rPr>
          <w:rFonts w:ascii="Times New Roman" w:hAnsi="Times New Roman"/>
          <w:sz w:val="24"/>
          <w:szCs w:val="24"/>
        </w:rPr>
      </w:pPr>
    </w:p>
    <w:p w:rsidR="004A64A8" w:rsidRPr="0018019D" w:rsidRDefault="004A64A8" w:rsidP="00DB04C4">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 xml:space="preserve">Pero existen dos factores que fueron quizás los que </w:t>
      </w:r>
      <w:r>
        <w:rPr>
          <w:rFonts w:ascii="Times New Roman" w:hAnsi="Times New Roman"/>
          <w:sz w:val="24"/>
          <w:szCs w:val="24"/>
        </w:rPr>
        <w:t>mej</w:t>
      </w:r>
      <w:r w:rsidRPr="0018019D">
        <w:rPr>
          <w:rFonts w:ascii="Times New Roman" w:hAnsi="Times New Roman"/>
          <w:sz w:val="24"/>
          <w:szCs w:val="24"/>
        </w:rPr>
        <w:t>or explican tanto la subida como la caída en el precio de los alimentos y estos son; el precio del petróleo y por tanto del coste de producción y la especulación en los mercados.</w:t>
      </w:r>
    </w:p>
    <w:p w:rsidR="004A64A8" w:rsidRPr="0018019D" w:rsidRDefault="004A64A8" w:rsidP="00DB04C4">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El precio del petróleo como hemos comentado anteriormente influye directa e indirectamente sobre el precio de los alimentos. Por una parte hace que se incrementen los incentivos para la búsqueda de otras fuentes alternativas de energía como los biocombustibles lo que disparan la demanda de maíz y aceites vegetales y por otra parte incrementa su coste de producción. Además el precio del petróleo también está sujeto a la especulación que muchas veces se traslada también al mercado de los alimentos. . Estimativos de la FAO indi</w:t>
      </w:r>
      <w:r>
        <w:rPr>
          <w:rFonts w:ascii="Times New Roman" w:hAnsi="Times New Roman"/>
          <w:sz w:val="24"/>
          <w:szCs w:val="24"/>
        </w:rPr>
        <w:t xml:space="preserve">can que se utilizan 6.000 mega </w:t>
      </w:r>
      <w:r w:rsidRPr="0018019D">
        <w:rPr>
          <w:rFonts w:ascii="Times New Roman" w:hAnsi="Times New Roman"/>
          <w:sz w:val="24"/>
          <w:szCs w:val="24"/>
        </w:rPr>
        <w:t>ju</w:t>
      </w:r>
      <w:r>
        <w:rPr>
          <w:rFonts w:ascii="Times New Roman" w:hAnsi="Times New Roman"/>
          <w:sz w:val="24"/>
          <w:szCs w:val="24"/>
        </w:rPr>
        <w:t>li</w:t>
      </w:r>
      <w:r w:rsidRPr="0018019D">
        <w:rPr>
          <w:rFonts w:ascii="Times New Roman" w:hAnsi="Times New Roman"/>
          <w:sz w:val="24"/>
          <w:szCs w:val="24"/>
        </w:rPr>
        <w:t>os (MJ) de energía fósil –</w:t>
      </w:r>
      <w:r>
        <w:rPr>
          <w:rFonts w:ascii="Times New Roman" w:hAnsi="Times New Roman"/>
          <w:sz w:val="24"/>
          <w:szCs w:val="24"/>
        </w:rPr>
        <w:t>-</w:t>
      </w:r>
      <w:r w:rsidRPr="0018019D">
        <w:rPr>
          <w:rFonts w:ascii="Times New Roman" w:hAnsi="Times New Roman"/>
          <w:sz w:val="24"/>
          <w:szCs w:val="24"/>
        </w:rPr>
        <w:t>igual a 160 litros de petróleo</w:t>
      </w:r>
      <w:r>
        <w:rPr>
          <w:rFonts w:ascii="Times New Roman" w:hAnsi="Times New Roman"/>
          <w:sz w:val="24"/>
          <w:szCs w:val="24"/>
        </w:rPr>
        <w:t>-</w:t>
      </w:r>
      <w:r w:rsidRPr="0018019D">
        <w:rPr>
          <w:rFonts w:ascii="Times New Roman" w:hAnsi="Times New Roman"/>
          <w:sz w:val="24"/>
          <w:szCs w:val="24"/>
        </w:rPr>
        <w:t xml:space="preserve"> para producir una tonelada de maíz en Estados Unidos Esto hace que aumente su volatilidad y se haga aun más incierto su suministro lo que presiona las políticas proteccionistas y las compras masivas de los gobiernos. </w:t>
      </w:r>
    </w:p>
    <w:p w:rsidR="004A64A8" w:rsidRPr="0018019D" w:rsidRDefault="004A64A8" w:rsidP="00DB04C4">
      <w:pPr>
        <w:autoSpaceDE w:val="0"/>
        <w:autoSpaceDN w:val="0"/>
        <w:adjustRightInd w:val="0"/>
        <w:spacing w:after="0" w:line="240" w:lineRule="auto"/>
        <w:rPr>
          <w:rFonts w:ascii="Times New Roman" w:hAnsi="Times New Roman"/>
          <w:sz w:val="24"/>
          <w:szCs w:val="24"/>
        </w:rPr>
      </w:pPr>
    </w:p>
    <w:p w:rsidR="004A64A8" w:rsidRPr="0018019D" w:rsidRDefault="004A64A8" w:rsidP="00DB04C4">
      <w:pPr>
        <w:autoSpaceDE w:val="0"/>
        <w:autoSpaceDN w:val="0"/>
        <w:adjustRightInd w:val="0"/>
        <w:spacing w:after="0" w:line="240" w:lineRule="auto"/>
        <w:rPr>
          <w:rFonts w:ascii="Times New Roman" w:hAnsi="Times New Roman"/>
          <w:sz w:val="24"/>
          <w:szCs w:val="24"/>
        </w:rPr>
      </w:pPr>
    </w:p>
    <w:p w:rsidR="004A64A8" w:rsidRPr="0018019D" w:rsidRDefault="004A64A8" w:rsidP="00DB04C4">
      <w:pPr>
        <w:autoSpaceDE w:val="0"/>
        <w:autoSpaceDN w:val="0"/>
        <w:adjustRightInd w:val="0"/>
        <w:spacing w:after="0" w:line="240" w:lineRule="auto"/>
        <w:rPr>
          <w:rFonts w:ascii="Times New Roman" w:hAnsi="Times New Roman"/>
          <w:sz w:val="24"/>
          <w:szCs w:val="24"/>
        </w:rPr>
      </w:pPr>
    </w:p>
    <w:p w:rsidR="004A64A8" w:rsidRPr="0018019D" w:rsidRDefault="004A64A8" w:rsidP="00DB04C4">
      <w:pPr>
        <w:autoSpaceDE w:val="0"/>
        <w:autoSpaceDN w:val="0"/>
        <w:adjustRightInd w:val="0"/>
        <w:spacing w:after="0" w:line="240" w:lineRule="auto"/>
        <w:rPr>
          <w:rFonts w:ascii="Times New Roman" w:hAnsi="Times New Roman"/>
          <w:sz w:val="24"/>
          <w:szCs w:val="24"/>
        </w:rPr>
      </w:pPr>
    </w:p>
    <w:p w:rsidR="004A64A8" w:rsidRPr="0018019D" w:rsidRDefault="004A64A8" w:rsidP="00DB04C4">
      <w:pPr>
        <w:autoSpaceDE w:val="0"/>
        <w:autoSpaceDN w:val="0"/>
        <w:adjustRightInd w:val="0"/>
        <w:spacing w:after="0" w:line="240" w:lineRule="auto"/>
        <w:rPr>
          <w:rFonts w:ascii="Times New Roman" w:hAnsi="Times New Roman"/>
          <w:sz w:val="24"/>
          <w:szCs w:val="24"/>
        </w:rPr>
      </w:pPr>
    </w:p>
    <w:p w:rsidR="004A64A8" w:rsidRPr="0018019D" w:rsidRDefault="004A64A8" w:rsidP="00DB04C4">
      <w:pPr>
        <w:autoSpaceDE w:val="0"/>
        <w:autoSpaceDN w:val="0"/>
        <w:adjustRightInd w:val="0"/>
        <w:spacing w:after="0" w:line="240" w:lineRule="auto"/>
        <w:rPr>
          <w:rFonts w:ascii="Times New Roman" w:hAnsi="Times New Roman"/>
          <w:sz w:val="24"/>
          <w:szCs w:val="24"/>
        </w:rPr>
      </w:pPr>
    </w:p>
    <w:p w:rsidR="004A64A8" w:rsidRPr="0018019D" w:rsidRDefault="004A64A8" w:rsidP="00DB04C4">
      <w:pPr>
        <w:autoSpaceDE w:val="0"/>
        <w:autoSpaceDN w:val="0"/>
        <w:adjustRightInd w:val="0"/>
        <w:spacing w:after="0" w:line="240" w:lineRule="auto"/>
        <w:rPr>
          <w:rFonts w:ascii="Times New Roman" w:hAnsi="Times New Roman"/>
          <w:sz w:val="24"/>
          <w:szCs w:val="24"/>
        </w:rPr>
      </w:pPr>
    </w:p>
    <w:p w:rsidR="004A64A8" w:rsidRPr="0018019D" w:rsidRDefault="004A64A8" w:rsidP="00DB04C4">
      <w:pPr>
        <w:autoSpaceDE w:val="0"/>
        <w:autoSpaceDN w:val="0"/>
        <w:adjustRightInd w:val="0"/>
        <w:spacing w:after="0" w:line="240" w:lineRule="auto"/>
        <w:rPr>
          <w:rFonts w:ascii="Times New Roman" w:hAnsi="Times New Roman"/>
          <w:sz w:val="24"/>
          <w:szCs w:val="24"/>
        </w:rPr>
      </w:pPr>
    </w:p>
    <w:p w:rsidR="004A64A8" w:rsidRPr="0018019D" w:rsidRDefault="004A64A8" w:rsidP="00DB04C4">
      <w:pPr>
        <w:autoSpaceDE w:val="0"/>
        <w:autoSpaceDN w:val="0"/>
        <w:adjustRightInd w:val="0"/>
        <w:spacing w:after="0" w:line="240" w:lineRule="auto"/>
        <w:rPr>
          <w:rFonts w:ascii="Times New Roman" w:hAnsi="Times New Roman"/>
          <w:sz w:val="24"/>
          <w:szCs w:val="24"/>
        </w:rPr>
      </w:pPr>
    </w:p>
    <w:p w:rsidR="004A64A8" w:rsidRPr="0018019D" w:rsidRDefault="004A64A8" w:rsidP="00DB04C4">
      <w:pPr>
        <w:autoSpaceDE w:val="0"/>
        <w:autoSpaceDN w:val="0"/>
        <w:adjustRightInd w:val="0"/>
        <w:spacing w:after="0" w:line="240" w:lineRule="auto"/>
        <w:rPr>
          <w:rFonts w:ascii="Times New Roman" w:hAnsi="Times New Roman"/>
          <w:sz w:val="24"/>
          <w:szCs w:val="24"/>
        </w:rPr>
      </w:pPr>
    </w:p>
    <w:p w:rsidR="004A64A8" w:rsidRPr="0018019D" w:rsidRDefault="004A64A8" w:rsidP="00DB04C4">
      <w:pPr>
        <w:autoSpaceDE w:val="0"/>
        <w:autoSpaceDN w:val="0"/>
        <w:adjustRightInd w:val="0"/>
        <w:spacing w:after="0" w:line="240" w:lineRule="auto"/>
        <w:rPr>
          <w:rFonts w:ascii="Times New Roman" w:hAnsi="Times New Roman"/>
          <w:sz w:val="24"/>
          <w:szCs w:val="24"/>
        </w:rPr>
      </w:pPr>
    </w:p>
    <w:p w:rsidR="004A64A8" w:rsidRPr="0018019D" w:rsidRDefault="004A64A8" w:rsidP="00DB04C4">
      <w:pPr>
        <w:autoSpaceDE w:val="0"/>
        <w:autoSpaceDN w:val="0"/>
        <w:adjustRightInd w:val="0"/>
        <w:spacing w:after="0" w:line="240" w:lineRule="auto"/>
        <w:rPr>
          <w:rFonts w:ascii="Times New Roman" w:hAnsi="Times New Roman"/>
          <w:sz w:val="24"/>
          <w:szCs w:val="24"/>
        </w:rPr>
      </w:pPr>
    </w:p>
    <w:p w:rsidR="004A64A8" w:rsidRPr="0018019D" w:rsidRDefault="004A64A8" w:rsidP="00DB04C4">
      <w:pPr>
        <w:autoSpaceDE w:val="0"/>
        <w:autoSpaceDN w:val="0"/>
        <w:adjustRightInd w:val="0"/>
        <w:spacing w:after="0" w:line="240" w:lineRule="auto"/>
        <w:rPr>
          <w:rFonts w:ascii="Times New Roman" w:hAnsi="Times New Roman"/>
          <w:sz w:val="24"/>
          <w:szCs w:val="24"/>
        </w:rPr>
      </w:pPr>
    </w:p>
    <w:p w:rsidR="004A64A8" w:rsidRPr="0018019D" w:rsidRDefault="004A64A8" w:rsidP="00DB04C4">
      <w:pPr>
        <w:autoSpaceDE w:val="0"/>
        <w:autoSpaceDN w:val="0"/>
        <w:adjustRightInd w:val="0"/>
        <w:spacing w:after="0" w:line="240" w:lineRule="auto"/>
        <w:rPr>
          <w:rFonts w:ascii="Times New Roman" w:hAnsi="Times New Roman"/>
          <w:sz w:val="24"/>
          <w:szCs w:val="24"/>
        </w:rPr>
      </w:pPr>
    </w:p>
    <w:p w:rsidR="004A64A8" w:rsidRPr="0018019D" w:rsidRDefault="004A64A8" w:rsidP="00DB04C4">
      <w:pPr>
        <w:autoSpaceDE w:val="0"/>
        <w:autoSpaceDN w:val="0"/>
        <w:adjustRightInd w:val="0"/>
        <w:spacing w:after="0" w:line="240" w:lineRule="auto"/>
        <w:rPr>
          <w:rFonts w:ascii="Times New Roman" w:hAnsi="Times New Roman"/>
          <w:sz w:val="24"/>
          <w:szCs w:val="24"/>
        </w:rPr>
      </w:pPr>
    </w:p>
    <w:p w:rsidR="004A64A8" w:rsidRPr="0018019D" w:rsidRDefault="004A64A8" w:rsidP="00DB04C4">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La futura evolución de los precios así como los factores estructurales del mercado de alim</w:t>
      </w:r>
      <w:r>
        <w:rPr>
          <w:rFonts w:ascii="Times New Roman" w:hAnsi="Times New Roman"/>
          <w:sz w:val="24"/>
          <w:szCs w:val="24"/>
        </w:rPr>
        <w:t>entos van a verse influi</w:t>
      </w:r>
      <w:r w:rsidRPr="0018019D">
        <w:rPr>
          <w:rFonts w:ascii="Times New Roman" w:hAnsi="Times New Roman"/>
          <w:sz w:val="24"/>
          <w:szCs w:val="24"/>
        </w:rPr>
        <w:t xml:space="preserve">dos por muchos elementos por lo que sería recomendable realizar un análisis para determinar tanto los elementos a corto plazo y largo plazo que puedan generar grandes shocks de demanda y oferta y ajustar ciertas rigideces y distorsiones del mercado. </w:t>
      </w:r>
    </w:p>
    <w:p w:rsidR="004A64A8" w:rsidRPr="0018019D" w:rsidRDefault="004A64A8" w:rsidP="00260A12">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Aunque hay considerable incertidumbre acerca de los precios futuros</w:t>
      </w:r>
    </w:p>
    <w:p w:rsidR="004A64A8" w:rsidRPr="0018019D" w:rsidRDefault="004A64A8" w:rsidP="00260A12">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de la energía, hay poca duda acerca de que los precios de ésta serán más altos que durante los últimos 20 años y que esto incrementará los costos de producción de la agricultura, haciendo presión hacia el alza en los precios de los alimentos.</w:t>
      </w:r>
    </w:p>
    <w:p w:rsidR="004A64A8" w:rsidRPr="0018019D" w:rsidRDefault="004A64A8" w:rsidP="00260A12">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 xml:space="preserve">Desde el lado de la demanda, la mayor incertidumbre se encontrara en el ritmo de expansión de los biocombustibles que utilizan </w:t>
      </w:r>
      <w:r>
        <w:rPr>
          <w:rFonts w:ascii="Times New Roman" w:hAnsi="Times New Roman"/>
          <w:sz w:val="24"/>
          <w:szCs w:val="24"/>
        </w:rPr>
        <w:t>productos</w:t>
      </w:r>
      <w:r w:rsidRPr="0018019D">
        <w:rPr>
          <w:rFonts w:ascii="Times New Roman" w:hAnsi="Times New Roman"/>
          <w:sz w:val="24"/>
          <w:szCs w:val="24"/>
        </w:rPr>
        <w:t xml:space="preserve"> agrícolas para responder a los altos precios de la energía. La magnitud de la expansión del uso de los cereales y su impacto sobre los precios de los alimentos es incierta. Recientes proyecciones indican</w:t>
      </w:r>
    </w:p>
    <w:p w:rsidR="004A64A8" w:rsidRPr="0018019D" w:rsidRDefault="004A64A8" w:rsidP="00260A12">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incrementos en los precios reales de hasta el 40% para el maíz en 2020, con efectos derivados sobre granos sustitu</w:t>
      </w:r>
      <w:r>
        <w:rPr>
          <w:rFonts w:ascii="Times New Roman" w:hAnsi="Times New Roman"/>
          <w:sz w:val="24"/>
          <w:szCs w:val="24"/>
        </w:rPr>
        <w:t>tiv</w:t>
      </w:r>
      <w:r w:rsidRPr="0018019D">
        <w:rPr>
          <w:rFonts w:ascii="Times New Roman" w:hAnsi="Times New Roman"/>
          <w:sz w:val="24"/>
          <w:szCs w:val="24"/>
        </w:rPr>
        <w:t xml:space="preserve">os (trigo) dado el alto crecimiento de la demanda por biocombustibles. Pero en el largo plazo, los precios de productos como el maíz y el azúcar no pueden aumentar más rápidamente que los precios reales de la energía si los biocombustibles tienen que ser competitivos, de manera que los impactos deben ser bastante más bajos. Las principales incertidumbres, entonces, se relacionan con el precio del petróleo, el progreso técnico en la eficiencia de conversión de los productos agrícolas y la biomasa, y en el alcance con el cual los gobiernos subsidiarán u ordenarán la producción de biocombustibles </w:t>
      </w:r>
    </w:p>
    <w:p w:rsidR="004A64A8" w:rsidRPr="0018019D" w:rsidRDefault="004A64A8" w:rsidP="00260A12">
      <w:pPr>
        <w:autoSpaceDE w:val="0"/>
        <w:autoSpaceDN w:val="0"/>
        <w:adjustRightInd w:val="0"/>
        <w:spacing w:after="0" w:line="240" w:lineRule="auto"/>
        <w:rPr>
          <w:rFonts w:ascii="Times New Roman" w:hAnsi="Times New Roman"/>
          <w:sz w:val="24"/>
          <w:szCs w:val="24"/>
        </w:rPr>
      </w:pPr>
    </w:p>
    <w:p w:rsidR="004A64A8" w:rsidRPr="0018019D" w:rsidRDefault="004A64A8" w:rsidP="003F42AF">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La futura tecnología para los biocombustibles puede depender del desarrollo de cultivos especialmente dedicados a la producción de energía y de desechos de la producción agrícola y de madera en lugar de cultivos alimentarios, reduciendo potencialmente la presión sobre los precios de los alimentos y contribuyendo a la oferta de biocombustibles líquidos más amistosos con el medio ambiente. Pero la tecnología para desdoblar la celulosa en azúcares destilados para producir etanol o la gasificación de la biomasa no es aún viable comercialmente –y no lo será por varios años.</w:t>
      </w:r>
    </w:p>
    <w:p w:rsidR="004A64A8" w:rsidRPr="0018019D" w:rsidRDefault="004A64A8" w:rsidP="003F42AF">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Adicionalmente, es probable que siga teniendo lugar alguna competencia por el uso de la tierra y el agua, entre cultivos dedicados a la producción de energía y los alimentarios. En 2006-07, alrededor de una quinta parte de la cosecha del maíz en Estados Unidos fue utilizada para producir etanol, pero desplazó únicamente alrededor del 3% del consumo de gasolina.</w:t>
      </w:r>
    </w:p>
    <w:p w:rsidR="004A64A8" w:rsidRPr="0018019D" w:rsidRDefault="004A64A8" w:rsidP="00260A12">
      <w:pPr>
        <w:autoSpaceDE w:val="0"/>
        <w:autoSpaceDN w:val="0"/>
        <w:adjustRightInd w:val="0"/>
        <w:spacing w:after="0" w:line="240" w:lineRule="auto"/>
        <w:rPr>
          <w:rFonts w:ascii="Times New Roman" w:hAnsi="Times New Roman"/>
          <w:sz w:val="24"/>
          <w:szCs w:val="24"/>
        </w:rPr>
      </w:pPr>
    </w:p>
    <w:p w:rsidR="004A64A8" w:rsidRPr="0018019D" w:rsidRDefault="004A64A8" w:rsidP="00260A12">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Desde el ángulo de la demanda, la mayor parte de la producción agrícola actual es bastante intensiva en el uso de energía, ocurriendo esto en mayor medida en el mundo desarrollado que en el mundo en desarrollo.</w:t>
      </w:r>
    </w:p>
    <w:p w:rsidR="004A64A8" w:rsidRPr="0018019D" w:rsidRDefault="004A64A8" w:rsidP="00260A12">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Como ya hemos comentado la energía se requiere de forma directa para la operación de la maquinaria e indirectamente para los fertilizantes y otros químicos y por eso es muy importante a la hora de de</w:t>
      </w:r>
      <w:r>
        <w:rPr>
          <w:rFonts w:ascii="Times New Roman" w:hAnsi="Times New Roman"/>
          <w:sz w:val="24"/>
          <w:szCs w:val="24"/>
        </w:rPr>
        <w:t>ter</w:t>
      </w:r>
      <w:r w:rsidRPr="0018019D">
        <w:rPr>
          <w:rFonts w:ascii="Times New Roman" w:hAnsi="Times New Roman"/>
          <w:sz w:val="24"/>
          <w:szCs w:val="24"/>
        </w:rPr>
        <w:t xml:space="preserve">minar los precios. </w:t>
      </w:r>
    </w:p>
    <w:p w:rsidR="004A64A8" w:rsidRPr="0018019D" w:rsidRDefault="004A64A8" w:rsidP="00260A12">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Por otro lado la biotecnología podría asegurar la oferta de alimentos  gracias a  la continuidad de las ganancias y el aumento del rendimiento mediante la resistencia de los productos a las enfermedades o a la sequía  y la adaptación al entorno.</w:t>
      </w:r>
    </w:p>
    <w:p w:rsidR="004A64A8" w:rsidRPr="0018019D" w:rsidRDefault="004A64A8" w:rsidP="00260A12">
      <w:pPr>
        <w:autoSpaceDE w:val="0"/>
        <w:autoSpaceDN w:val="0"/>
        <w:adjustRightInd w:val="0"/>
        <w:spacing w:after="0" w:line="240" w:lineRule="auto"/>
        <w:rPr>
          <w:rFonts w:ascii="Times New Roman" w:hAnsi="Times New Roman"/>
          <w:sz w:val="24"/>
          <w:szCs w:val="24"/>
        </w:rPr>
      </w:pPr>
    </w:p>
    <w:p w:rsidR="004A64A8" w:rsidRPr="0018019D" w:rsidRDefault="004A64A8" w:rsidP="00260A12">
      <w:pPr>
        <w:autoSpaceDE w:val="0"/>
        <w:autoSpaceDN w:val="0"/>
        <w:adjustRightInd w:val="0"/>
        <w:spacing w:after="0" w:line="240" w:lineRule="auto"/>
        <w:rPr>
          <w:rFonts w:ascii="Times New Roman" w:hAnsi="Times New Roman"/>
          <w:sz w:val="24"/>
          <w:szCs w:val="24"/>
        </w:rPr>
      </w:pPr>
    </w:p>
    <w:p w:rsidR="004A64A8" w:rsidRPr="0018019D" w:rsidRDefault="004A64A8" w:rsidP="00260A12">
      <w:pPr>
        <w:autoSpaceDE w:val="0"/>
        <w:autoSpaceDN w:val="0"/>
        <w:adjustRightInd w:val="0"/>
        <w:spacing w:after="0" w:line="240" w:lineRule="auto"/>
        <w:rPr>
          <w:rFonts w:ascii="Times New Roman" w:hAnsi="Times New Roman"/>
          <w:sz w:val="24"/>
          <w:szCs w:val="24"/>
        </w:rPr>
      </w:pPr>
    </w:p>
    <w:p w:rsidR="004A64A8" w:rsidRPr="0018019D" w:rsidRDefault="004A64A8" w:rsidP="00260A12">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Desde el punto de vista de la política comercial. Hay que evitar determinadas prácticas como las restricciones a las exportaciones o los controles de precios, políticas que introducen distorsiones en el mercado y por tanto desvían los incentivos para la producción eficiente de alimentos. Además existe una necesidad urgente de eliminar las actuales políticas que subvencionan la producción y el uso de los biocombustibles, especialmente en países de la OCDE. Actualmente este tipo de política se da mayoritariamente en un marco nacional bajo el argumento de la ‘infant industry’ que consiste en sub</w:t>
      </w:r>
      <w:r>
        <w:rPr>
          <w:rFonts w:ascii="Times New Roman" w:hAnsi="Times New Roman"/>
          <w:sz w:val="24"/>
          <w:szCs w:val="24"/>
        </w:rPr>
        <w:t>v</w:t>
      </w:r>
      <w:r w:rsidRPr="0018019D">
        <w:rPr>
          <w:rFonts w:ascii="Times New Roman" w:hAnsi="Times New Roman"/>
          <w:sz w:val="24"/>
          <w:szCs w:val="24"/>
        </w:rPr>
        <w:t>en</w:t>
      </w:r>
      <w:r>
        <w:rPr>
          <w:rFonts w:ascii="Times New Roman" w:hAnsi="Times New Roman"/>
          <w:sz w:val="24"/>
          <w:szCs w:val="24"/>
        </w:rPr>
        <w:t>cio</w:t>
      </w:r>
      <w:r w:rsidRPr="0018019D">
        <w:rPr>
          <w:rFonts w:ascii="Times New Roman" w:hAnsi="Times New Roman"/>
          <w:sz w:val="24"/>
          <w:szCs w:val="24"/>
        </w:rPr>
        <w:t xml:space="preserve">nar industrias nacientes para superar los alto costes fijos iníciales. Sin embargo las consecuencias redistributivas no se tienen en cuenta, y el coste económico para el total de la sociedad es muy alto (sobre todo a nivel internacional) lo que hace que la industrial de los biocombustibles sea a día de hoy ineficiente. </w:t>
      </w:r>
      <w:r w:rsidRPr="005E002A">
        <w:rPr>
          <w:rFonts w:ascii="Times New Roman" w:hAnsi="Times New Roman"/>
          <w:sz w:val="24"/>
          <w:szCs w:val="24"/>
          <w:highlight w:val="cyan"/>
        </w:rPr>
        <w:t>Parece más adecuado destinar los recursos económicos a la investigación en este tipo de energía de segunda generación, de manera que se pueda llegar a desarrollar una energía cuyo coste de oportunidad no sea tan alto, que ejerzan menos presión en la base de recursos naturales y que pueda competir eficientemente sin necesidad de políticas intervencionistas.</w:t>
      </w:r>
      <w:r w:rsidRPr="0018019D">
        <w:rPr>
          <w:rFonts w:ascii="Times New Roman" w:hAnsi="Times New Roman"/>
          <w:sz w:val="24"/>
          <w:szCs w:val="24"/>
        </w:rPr>
        <w:t xml:space="preserve"> </w:t>
      </w:r>
    </w:p>
    <w:p w:rsidR="004A64A8" w:rsidRPr="0018019D" w:rsidRDefault="004A64A8" w:rsidP="00260A12">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 xml:space="preserve">La introducción de </w:t>
      </w:r>
      <w:r w:rsidRPr="005E002A">
        <w:rPr>
          <w:rFonts w:ascii="Times New Roman" w:hAnsi="Times New Roman"/>
          <w:b/>
          <w:sz w:val="24"/>
          <w:szCs w:val="24"/>
        </w:rPr>
        <w:t>biocombustibles de segunda generación</w:t>
      </w:r>
      <w:r w:rsidRPr="0018019D">
        <w:rPr>
          <w:rFonts w:ascii="Times New Roman" w:hAnsi="Times New Roman"/>
          <w:sz w:val="24"/>
          <w:szCs w:val="24"/>
        </w:rPr>
        <w:t xml:space="preserve"> producidos a partir de materias lignocelulósica podrían ampliar considerablemente sus posibilidades, pero hasta donde puede preverse los biocombustibles líquidos seguirán suministrando solo una pequeña parte de la energía para el transporte a nivel mundial y una porción aún más pequeña del total de la energía mundial por lo que habría que establecer prioridades a la hora de determinar los usos de las materias primas.</w:t>
      </w:r>
    </w:p>
    <w:p w:rsidR="004A64A8" w:rsidRPr="0018019D" w:rsidRDefault="004A64A8" w:rsidP="00260A12">
      <w:pPr>
        <w:rPr>
          <w:rFonts w:ascii="Times New Roman" w:hAnsi="Times New Roman"/>
          <w:sz w:val="24"/>
          <w:szCs w:val="24"/>
        </w:rPr>
      </w:pPr>
    </w:p>
    <w:p w:rsidR="004A64A8" w:rsidRPr="0018019D" w:rsidRDefault="004A64A8" w:rsidP="00260A12">
      <w:pPr>
        <w:rPr>
          <w:rFonts w:ascii="Times New Roman" w:hAnsi="Times New Roman"/>
          <w:sz w:val="24"/>
          <w:szCs w:val="24"/>
        </w:rPr>
      </w:pPr>
      <w:r w:rsidRPr="0018019D">
        <w:rPr>
          <w:rFonts w:ascii="Times New Roman" w:hAnsi="Times New Roman"/>
          <w:sz w:val="24"/>
          <w:szCs w:val="24"/>
        </w:rPr>
        <w:t>Las consecuencias sobre el nivel de precios de los alimentos causadas por los cambios climáticos o los cambios en el rendimientos de la producción dependerá de la mayor o menos existencia de las provisiones. Tanto si las contingencias met</w:t>
      </w:r>
      <w:r>
        <w:rPr>
          <w:rFonts w:ascii="Times New Roman" w:hAnsi="Times New Roman"/>
          <w:sz w:val="24"/>
          <w:szCs w:val="24"/>
        </w:rPr>
        <w:t>eor</w:t>
      </w:r>
      <w:r w:rsidRPr="0018019D">
        <w:rPr>
          <w:rFonts w:ascii="Times New Roman" w:hAnsi="Times New Roman"/>
          <w:sz w:val="24"/>
          <w:szCs w:val="24"/>
        </w:rPr>
        <w:t>ológicas o de rendimiento son negativas o positivas, su impacto sobre los precios mundiales podría ser limitado al existir políticas y factores que podrían neutralizar estas circunstancias (políticas de aprovisionamientos, incentivos a través de precios para aumentar la producción, eficiencia tecnológica para producir en áreas no tradicionales, restricciones comerciales….)</w:t>
      </w:r>
    </w:p>
    <w:p w:rsidR="004A64A8" w:rsidRPr="0018019D" w:rsidRDefault="004A64A8" w:rsidP="00260A12">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Ade</w:t>
      </w:r>
      <w:r>
        <w:rPr>
          <w:rFonts w:ascii="Times New Roman" w:hAnsi="Times New Roman"/>
          <w:sz w:val="24"/>
          <w:szCs w:val="24"/>
        </w:rPr>
        <w:t>más hay que tener en cuenta que</w:t>
      </w:r>
      <w:r w:rsidRPr="0018019D">
        <w:rPr>
          <w:rFonts w:ascii="Times New Roman" w:hAnsi="Times New Roman"/>
          <w:sz w:val="24"/>
          <w:szCs w:val="24"/>
        </w:rPr>
        <w:t xml:space="preserve"> las restricciones de oferta de tierra, agua y energía, la creciente variabilidad del clima y el cambio climático y la persistencia de los bajos niveles de inversión en investigación, determinan importantes desafíos para satisfacer la futura demanda de alimentos. Estos factores sugieren una creciente incertidumbre y el potencial para que existan más grandes y más frecuentes choques a los precios mundiales de alimentos.</w:t>
      </w:r>
    </w:p>
    <w:p w:rsidR="004A64A8" w:rsidRPr="0018019D" w:rsidRDefault="004A64A8" w:rsidP="00260A12">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La incipiente urbanización en los países en desarrollo reducirá la superficie destinada a la agricultura, además la degradación del suelo y la escasez de agua pueden aumentar todavía más los problemas en la producción agrícola.</w:t>
      </w:r>
    </w:p>
    <w:p w:rsidR="004A64A8" w:rsidRPr="0018019D" w:rsidRDefault="004A64A8" w:rsidP="00DB04C4">
      <w:pPr>
        <w:autoSpaceDE w:val="0"/>
        <w:autoSpaceDN w:val="0"/>
        <w:adjustRightInd w:val="0"/>
        <w:spacing w:after="0" w:line="240" w:lineRule="auto"/>
        <w:rPr>
          <w:rFonts w:ascii="Times New Roman" w:hAnsi="Times New Roman"/>
          <w:sz w:val="24"/>
          <w:szCs w:val="24"/>
        </w:rPr>
      </w:pPr>
    </w:p>
    <w:p w:rsidR="004A64A8" w:rsidRPr="0018019D" w:rsidRDefault="004A64A8" w:rsidP="00DB04C4">
      <w:pPr>
        <w:autoSpaceDE w:val="0"/>
        <w:autoSpaceDN w:val="0"/>
        <w:adjustRightInd w:val="0"/>
        <w:spacing w:after="0" w:line="240" w:lineRule="auto"/>
        <w:rPr>
          <w:rFonts w:ascii="Times New Roman" w:hAnsi="Times New Roman"/>
          <w:sz w:val="24"/>
          <w:szCs w:val="24"/>
        </w:rPr>
      </w:pPr>
    </w:p>
    <w:p w:rsidR="004A64A8" w:rsidRPr="0018019D" w:rsidRDefault="004A64A8" w:rsidP="00A7390E">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A lo hora de establecer cualquier medida en el futuro  hay que tener en cuenta que  especialmente en los países desarrollados hay una gran respuesta tanto en producción como en productividad  al estímulo de precios más altos.  Según el Banco Mundial. Un 70% de los pobres que viven en áreas rurales, tienen como forma de vida la agricultura. Por eso un precio mayor de los bienes agrarios les pude incentivar para comprar y usar factores de producción mas modernizados como semillas mejoradas o fertilizantes lo que incrementaría su productividad y por tanto sus ganancias.</w:t>
      </w:r>
    </w:p>
    <w:p w:rsidR="004A64A8" w:rsidRPr="0018019D" w:rsidRDefault="004A64A8" w:rsidP="00A7390E">
      <w:p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P</w:t>
      </w:r>
      <w:r>
        <w:rPr>
          <w:rFonts w:ascii="Times New Roman" w:hAnsi="Times New Roman"/>
          <w:sz w:val="24"/>
          <w:szCs w:val="24"/>
        </w:rPr>
        <w:t>ero</w:t>
      </w:r>
      <w:r w:rsidRPr="0018019D">
        <w:rPr>
          <w:rFonts w:ascii="Times New Roman" w:hAnsi="Times New Roman"/>
          <w:sz w:val="24"/>
          <w:szCs w:val="24"/>
        </w:rPr>
        <w:t xml:space="preserve"> so</w:t>
      </w:r>
      <w:r>
        <w:rPr>
          <w:rFonts w:ascii="Times New Roman" w:hAnsi="Times New Roman"/>
          <w:sz w:val="24"/>
          <w:szCs w:val="24"/>
        </w:rPr>
        <w:t>n</w:t>
      </w:r>
      <w:r w:rsidRPr="0018019D">
        <w:rPr>
          <w:rFonts w:ascii="Times New Roman" w:hAnsi="Times New Roman"/>
          <w:sz w:val="24"/>
          <w:szCs w:val="24"/>
        </w:rPr>
        <w:t xml:space="preserve"> las medidas que permitan trasladar los precios mundiales a los productores son imprescindibles de manera que no se eliminen los incentivos a largo plazo ganancias potenciales para los agricultores de los países en desarrollo.</w:t>
      </w:r>
    </w:p>
    <w:p w:rsidR="004A64A8" w:rsidRPr="005B40FD" w:rsidRDefault="004A64A8" w:rsidP="00A7390E">
      <w:pPr>
        <w:autoSpaceDE w:val="0"/>
        <w:autoSpaceDN w:val="0"/>
        <w:adjustRightInd w:val="0"/>
        <w:spacing w:after="0" w:line="240" w:lineRule="auto"/>
        <w:rPr>
          <w:rFonts w:ascii="Times New Roman" w:hAnsi="Times New Roman"/>
          <w:sz w:val="24"/>
          <w:szCs w:val="24"/>
        </w:rPr>
      </w:pPr>
    </w:p>
    <w:p w:rsidR="004A64A8" w:rsidRPr="0018019D" w:rsidRDefault="004A64A8" w:rsidP="00BA1FA3">
      <w:pPr>
        <w:autoSpaceDE w:val="0"/>
        <w:autoSpaceDN w:val="0"/>
        <w:adjustRightInd w:val="0"/>
        <w:spacing w:after="0" w:line="240" w:lineRule="auto"/>
        <w:rPr>
          <w:rFonts w:ascii="Times New Roman" w:hAnsi="Times New Roman"/>
          <w:sz w:val="24"/>
          <w:szCs w:val="24"/>
        </w:rPr>
      </w:pPr>
    </w:p>
    <w:p w:rsidR="004A64A8" w:rsidRPr="0018019D" w:rsidRDefault="004A64A8" w:rsidP="002F109E">
      <w:pPr>
        <w:autoSpaceDE w:val="0"/>
        <w:autoSpaceDN w:val="0"/>
        <w:adjustRightInd w:val="0"/>
        <w:spacing w:after="0" w:line="240" w:lineRule="auto"/>
        <w:rPr>
          <w:rFonts w:ascii="Times New Roman" w:hAnsi="Times New Roman"/>
          <w:sz w:val="24"/>
          <w:szCs w:val="24"/>
        </w:rPr>
      </w:pPr>
    </w:p>
    <w:p w:rsidR="004A64A8" w:rsidRPr="0018019D" w:rsidRDefault="004A64A8" w:rsidP="002F109E">
      <w:pPr>
        <w:autoSpaceDE w:val="0"/>
        <w:autoSpaceDN w:val="0"/>
        <w:adjustRightInd w:val="0"/>
        <w:spacing w:after="0" w:line="240" w:lineRule="auto"/>
        <w:rPr>
          <w:rFonts w:ascii="Times New Roman" w:hAnsi="Times New Roman"/>
          <w:sz w:val="24"/>
          <w:szCs w:val="24"/>
        </w:rPr>
      </w:pPr>
    </w:p>
    <w:p w:rsidR="004A64A8" w:rsidRPr="0018019D" w:rsidRDefault="004A64A8" w:rsidP="00BA1FA3">
      <w:pPr>
        <w:rPr>
          <w:rFonts w:ascii="Times New Roman" w:hAnsi="Times New Roman"/>
          <w:sz w:val="24"/>
          <w:szCs w:val="24"/>
        </w:rPr>
      </w:pPr>
    </w:p>
    <w:p w:rsidR="004A64A8" w:rsidRPr="0018019D" w:rsidRDefault="004A64A8" w:rsidP="00BA1FA3">
      <w:pPr>
        <w:rPr>
          <w:rFonts w:ascii="Times New Roman" w:hAnsi="Times New Roman"/>
          <w:sz w:val="24"/>
          <w:szCs w:val="24"/>
        </w:rPr>
      </w:pPr>
    </w:p>
    <w:p w:rsidR="004A64A8" w:rsidRPr="0018019D" w:rsidRDefault="004A64A8" w:rsidP="00BA1FA3">
      <w:pPr>
        <w:rPr>
          <w:rFonts w:ascii="Times New Roman" w:hAnsi="Times New Roman"/>
          <w:sz w:val="24"/>
          <w:szCs w:val="24"/>
        </w:rPr>
      </w:pPr>
    </w:p>
    <w:p w:rsidR="004A64A8" w:rsidRPr="0018019D" w:rsidRDefault="004A64A8" w:rsidP="00BA1FA3">
      <w:pPr>
        <w:rPr>
          <w:rFonts w:ascii="Times New Roman" w:hAnsi="Times New Roman"/>
          <w:sz w:val="24"/>
          <w:szCs w:val="24"/>
        </w:rPr>
      </w:pPr>
    </w:p>
    <w:p w:rsidR="004A64A8" w:rsidRPr="0018019D" w:rsidRDefault="004A64A8" w:rsidP="00BA1FA3">
      <w:pPr>
        <w:rPr>
          <w:rFonts w:ascii="Times New Roman" w:hAnsi="Times New Roman"/>
          <w:sz w:val="24"/>
          <w:szCs w:val="24"/>
        </w:rPr>
      </w:pPr>
    </w:p>
    <w:p w:rsidR="004A64A8" w:rsidRPr="0018019D" w:rsidRDefault="004A64A8" w:rsidP="00BA1FA3">
      <w:pPr>
        <w:rPr>
          <w:rFonts w:ascii="Times New Roman" w:hAnsi="Times New Roman"/>
          <w:sz w:val="24"/>
          <w:szCs w:val="24"/>
        </w:rPr>
      </w:pPr>
    </w:p>
    <w:p w:rsidR="004A64A8" w:rsidRPr="0018019D" w:rsidRDefault="004A64A8" w:rsidP="00BA1FA3">
      <w:pPr>
        <w:rPr>
          <w:rFonts w:ascii="Times New Roman" w:hAnsi="Times New Roman"/>
          <w:sz w:val="24"/>
          <w:szCs w:val="24"/>
        </w:rPr>
      </w:pPr>
    </w:p>
    <w:p w:rsidR="004A64A8" w:rsidRPr="0018019D" w:rsidRDefault="004A64A8" w:rsidP="00BA1FA3">
      <w:pPr>
        <w:rPr>
          <w:rFonts w:ascii="Times New Roman" w:hAnsi="Times New Roman"/>
          <w:sz w:val="24"/>
          <w:szCs w:val="24"/>
        </w:rPr>
      </w:pPr>
    </w:p>
    <w:p w:rsidR="004A64A8" w:rsidRPr="0018019D" w:rsidRDefault="004A64A8" w:rsidP="00BA1FA3">
      <w:pPr>
        <w:rPr>
          <w:rFonts w:ascii="Times New Roman" w:hAnsi="Times New Roman"/>
          <w:sz w:val="24"/>
          <w:szCs w:val="24"/>
        </w:rPr>
      </w:pPr>
    </w:p>
    <w:p w:rsidR="004A64A8" w:rsidRPr="0018019D" w:rsidRDefault="004A64A8" w:rsidP="00BA1FA3">
      <w:pPr>
        <w:rPr>
          <w:rFonts w:ascii="Times New Roman" w:hAnsi="Times New Roman"/>
          <w:sz w:val="24"/>
          <w:szCs w:val="24"/>
        </w:rPr>
      </w:pPr>
    </w:p>
    <w:p w:rsidR="004A64A8" w:rsidRPr="0018019D" w:rsidRDefault="004A64A8" w:rsidP="00BA1FA3">
      <w:pPr>
        <w:rPr>
          <w:rFonts w:ascii="Times New Roman" w:hAnsi="Times New Roman"/>
          <w:sz w:val="24"/>
          <w:szCs w:val="24"/>
        </w:rPr>
      </w:pPr>
    </w:p>
    <w:p w:rsidR="004A64A8" w:rsidRPr="0018019D" w:rsidRDefault="004A64A8" w:rsidP="00BA1FA3">
      <w:pPr>
        <w:rPr>
          <w:rFonts w:ascii="Times New Roman" w:hAnsi="Times New Roman"/>
          <w:sz w:val="24"/>
          <w:szCs w:val="24"/>
        </w:rPr>
      </w:pPr>
    </w:p>
    <w:p w:rsidR="004A64A8" w:rsidRPr="0018019D" w:rsidRDefault="004A64A8" w:rsidP="00BA1FA3">
      <w:pPr>
        <w:rPr>
          <w:rFonts w:ascii="Times New Roman" w:hAnsi="Times New Roman"/>
          <w:sz w:val="24"/>
          <w:szCs w:val="24"/>
        </w:rPr>
      </w:pPr>
    </w:p>
    <w:p w:rsidR="004A64A8" w:rsidRPr="0018019D" w:rsidRDefault="004A64A8" w:rsidP="00BA1FA3">
      <w:pPr>
        <w:rPr>
          <w:rFonts w:ascii="Times New Roman" w:hAnsi="Times New Roman"/>
          <w:sz w:val="24"/>
          <w:szCs w:val="24"/>
        </w:rPr>
      </w:pPr>
    </w:p>
    <w:p w:rsidR="004A64A8" w:rsidRPr="0018019D" w:rsidRDefault="004A64A8" w:rsidP="00BA1FA3">
      <w:pPr>
        <w:rPr>
          <w:rFonts w:ascii="Times New Roman" w:hAnsi="Times New Roman"/>
          <w:sz w:val="24"/>
          <w:szCs w:val="24"/>
        </w:rPr>
      </w:pPr>
    </w:p>
    <w:p w:rsidR="004A64A8" w:rsidRPr="0018019D" w:rsidRDefault="004A64A8" w:rsidP="00BA1FA3">
      <w:pPr>
        <w:rPr>
          <w:rFonts w:ascii="Times New Roman" w:hAnsi="Times New Roman"/>
          <w:sz w:val="24"/>
          <w:szCs w:val="24"/>
        </w:rPr>
      </w:pPr>
    </w:p>
    <w:p w:rsidR="004A64A8" w:rsidRPr="0018019D" w:rsidRDefault="004A64A8" w:rsidP="00BA1FA3">
      <w:pPr>
        <w:rPr>
          <w:rFonts w:ascii="Times New Roman" w:hAnsi="Times New Roman"/>
          <w:sz w:val="24"/>
          <w:szCs w:val="24"/>
        </w:rPr>
      </w:pPr>
    </w:p>
    <w:p w:rsidR="004A64A8" w:rsidRPr="0018019D" w:rsidRDefault="004A64A8" w:rsidP="00BA1FA3">
      <w:pPr>
        <w:rPr>
          <w:rFonts w:ascii="Times New Roman" w:hAnsi="Times New Roman"/>
          <w:sz w:val="24"/>
          <w:szCs w:val="24"/>
        </w:rPr>
      </w:pPr>
    </w:p>
    <w:p w:rsidR="004A64A8" w:rsidRPr="0018019D" w:rsidRDefault="004A64A8" w:rsidP="00BA1FA3">
      <w:pPr>
        <w:rPr>
          <w:rFonts w:ascii="Times New Roman" w:hAnsi="Times New Roman"/>
          <w:sz w:val="24"/>
          <w:szCs w:val="24"/>
        </w:rPr>
      </w:pPr>
    </w:p>
    <w:p w:rsidR="004A64A8" w:rsidRPr="0018019D" w:rsidRDefault="004A64A8" w:rsidP="00BA1FA3">
      <w:pPr>
        <w:rPr>
          <w:rFonts w:ascii="Times New Roman" w:hAnsi="Times New Roman"/>
          <w:sz w:val="24"/>
          <w:szCs w:val="24"/>
          <w:u w:val="single"/>
        </w:rPr>
      </w:pPr>
      <w:r w:rsidRPr="0018019D">
        <w:rPr>
          <w:rFonts w:ascii="Times New Roman" w:hAnsi="Times New Roman"/>
          <w:sz w:val="24"/>
          <w:szCs w:val="24"/>
          <w:u w:val="single"/>
        </w:rPr>
        <w:t>BILBIOGRAFÍA</w:t>
      </w:r>
    </w:p>
    <w:p w:rsidR="004A64A8" w:rsidRPr="0018019D" w:rsidRDefault="004A64A8" w:rsidP="002D00C6">
      <w:pPr>
        <w:pStyle w:val="ListParagraph"/>
        <w:numPr>
          <w:ilvl w:val="0"/>
          <w:numId w:val="6"/>
        </w:numPr>
        <w:autoSpaceDE w:val="0"/>
        <w:autoSpaceDN w:val="0"/>
        <w:adjustRightInd w:val="0"/>
        <w:spacing w:after="0" w:line="240" w:lineRule="auto"/>
        <w:rPr>
          <w:rFonts w:ascii="Times New Roman" w:hAnsi="Times New Roman"/>
          <w:bCs/>
          <w:color w:val="000000"/>
          <w:sz w:val="24"/>
          <w:szCs w:val="24"/>
          <w:lang w:val="en-US"/>
        </w:rPr>
      </w:pPr>
      <w:r w:rsidRPr="0018019D">
        <w:rPr>
          <w:rFonts w:ascii="Times New Roman" w:hAnsi="Times New Roman"/>
          <w:bCs/>
          <w:color w:val="000000"/>
          <w:sz w:val="24"/>
          <w:szCs w:val="24"/>
          <w:lang w:val="en-US"/>
        </w:rPr>
        <w:t>Factors Behind the Rise in Global Rice Prices in 2008: Nathan childs, James Kiawu. Economic Research Services.</w:t>
      </w:r>
    </w:p>
    <w:p w:rsidR="004A64A8" w:rsidRPr="0018019D" w:rsidRDefault="004A64A8" w:rsidP="002D00C6">
      <w:pPr>
        <w:pStyle w:val="ListParagraph"/>
        <w:numPr>
          <w:ilvl w:val="0"/>
          <w:numId w:val="6"/>
        </w:numPr>
        <w:autoSpaceDE w:val="0"/>
        <w:autoSpaceDN w:val="0"/>
        <w:adjustRightInd w:val="0"/>
        <w:spacing w:after="0" w:line="240" w:lineRule="auto"/>
        <w:rPr>
          <w:rFonts w:ascii="Times New Roman" w:hAnsi="Times New Roman"/>
          <w:bCs/>
          <w:color w:val="000000"/>
          <w:sz w:val="24"/>
          <w:szCs w:val="24"/>
        </w:rPr>
      </w:pPr>
      <w:r w:rsidRPr="0018019D">
        <w:rPr>
          <w:rFonts w:ascii="Times New Roman" w:hAnsi="Times New Roman"/>
          <w:bCs/>
          <w:color w:val="000000"/>
          <w:sz w:val="24"/>
          <w:szCs w:val="24"/>
        </w:rPr>
        <w:t>Informe sobre el desarrollo mundial 2008; Agricultura para el desarrollo : Banco Mundial</w:t>
      </w:r>
    </w:p>
    <w:p w:rsidR="004A64A8" w:rsidRPr="0018019D" w:rsidRDefault="004A64A8" w:rsidP="00EC6236">
      <w:pPr>
        <w:pStyle w:val="ListParagraph"/>
        <w:numPr>
          <w:ilvl w:val="0"/>
          <w:numId w:val="6"/>
        </w:numPr>
        <w:autoSpaceDE w:val="0"/>
        <w:autoSpaceDN w:val="0"/>
        <w:adjustRightInd w:val="0"/>
        <w:spacing w:after="0" w:line="240" w:lineRule="auto"/>
        <w:rPr>
          <w:rFonts w:ascii="Times New Roman" w:hAnsi="Times New Roman"/>
          <w:color w:val="231F20"/>
          <w:sz w:val="24"/>
          <w:szCs w:val="24"/>
        </w:rPr>
      </w:pPr>
      <w:r w:rsidRPr="0018019D">
        <w:rPr>
          <w:rFonts w:ascii="Times New Roman" w:hAnsi="Times New Roman"/>
          <w:bCs/>
          <w:color w:val="000000"/>
          <w:sz w:val="24"/>
          <w:szCs w:val="24"/>
        </w:rPr>
        <w:t xml:space="preserve">Estado mundial de la agricultura y la alimentación 2008: </w:t>
      </w:r>
      <w:r w:rsidRPr="0018019D">
        <w:rPr>
          <w:rFonts w:ascii="Times New Roman" w:hAnsi="Times New Roman"/>
          <w:color w:val="231F20"/>
          <w:sz w:val="24"/>
          <w:szCs w:val="24"/>
        </w:rPr>
        <w:t>FAO</w:t>
      </w:r>
    </w:p>
    <w:p w:rsidR="004A64A8" w:rsidRPr="0018019D" w:rsidRDefault="004A64A8" w:rsidP="00EC6236">
      <w:pPr>
        <w:pStyle w:val="ListParagraph"/>
        <w:numPr>
          <w:ilvl w:val="0"/>
          <w:numId w:val="6"/>
        </w:numPr>
        <w:autoSpaceDE w:val="0"/>
        <w:autoSpaceDN w:val="0"/>
        <w:adjustRightInd w:val="0"/>
        <w:spacing w:after="0" w:line="240" w:lineRule="auto"/>
        <w:rPr>
          <w:rFonts w:ascii="Times New Roman" w:hAnsi="Times New Roman"/>
          <w:bCs/>
          <w:sz w:val="24"/>
          <w:szCs w:val="24"/>
          <w:lang w:val="en-US"/>
        </w:rPr>
      </w:pPr>
      <w:r w:rsidRPr="0018019D">
        <w:rPr>
          <w:rFonts w:ascii="Times New Roman" w:hAnsi="Times New Roman"/>
          <w:bCs/>
          <w:sz w:val="24"/>
          <w:szCs w:val="24"/>
          <w:lang w:val="en-US"/>
        </w:rPr>
        <w:t xml:space="preserve">Rising food prices: Policy options and World Bank response: </w:t>
      </w:r>
      <w:r w:rsidRPr="0018019D">
        <w:rPr>
          <w:rFonts w:ascii="Times New Roman" w:hAnsi="Times New Roman"/>
          <w:sz w:val="24"/>
          <w:szCs w:val="24"/>
          <w:lang w:val="en-US"/>
        </w:rPr>
        <w:t>PREM, ARD and DEC,</w:t>
      </w:r>
    </w:p>
    <w:p w:rsidR="004A64A8" w:rsidRPr="0018019D" w:rsidRDefault="004A64A8" w:rsidP="00EC6236">
      <w:pPr>
        <w:pStyle w:val="ListParagraph"/>
        <w:numPr>
          <w:ilvl w:val="0"/>
          <w:numId w:val="6"/>
        </w:numPr>
        <w:autoSpaceDE w:val="0"/>
        <w:autoSpaceDN w:val="0"/>
        <w:adjustRightInd w:val="0"/>
        <w:spacing w:after="0" w:line="240" w:lineRule="auto"/>
        <w:rPr>
          <w:rFonts w:ascii="Times New Roman" w:hAnsi="Times New Roman"/>
          <w:bCs/>
          <w:sz w:val="24"/>
          <w:szCs w:val="24"/>
          <w:lang w:val="en-US"/>
        </w:rPr>
      </w:pPr>
      <w:r w:rsidRPr="0018019D">
        <w:rPr>
          <w:rFonts w:ascii="Times New Roman" w:hAnsi="Times New Roman"/>
          <w:bCs/>
          <w:sz w:val="24"/>
          <w:szCs w:val="24"/>
          <w:lang w:val="en-US"/>
        </w:rPr>
        <w:t>Monthly Agricultural update; december 2008: CME (Chicago Board of Trade)</w:t>
      </w:r>
    </w:p>
    <w:p w:rsidR="004A64A8" w:rsidRPr="0018019D" w:rsidRDefault="004A64A8" w:rsidP="00EC6236">
      <w:pPr>
        <w:pStyle w:val="ListParagraph"/>
        <w:numPr>
          <w:ilvl w:val="0"/>
          <w:numId w:val="6"/>
        </w:numPr>
        <w:autoSpaceDE w:val="0"/>
        <w:autoSpaceDN w:val="0"/>
        <w:adjustRightInd w:val="0"/>
        <w:spacing w:after="0" w:line="240" w:lineRule="auto"/>
        <w:rPr>
          <w:rFonts w:ascii="Times New Roman" w:hAnsi="Times New Roman"/>
          <w:sz w:val="24"/>
          <w:szCs w:val="24"/>
          <w:lang w:val="en-US"/>
        </w:rPr>
      </w:pPr>
      <w:r w:rsidRPr="0018019D">
        <w:rPr>
          <w:rFonts w:ascii="Times New Roman" w:hAnsi="Times New Roman"/>
          <w:sz w:val="24"/>
          <w:szCs w:val="24"/>
          <w:lang w:val="en-US"/>
        </w:rPr>
        <w:t xml:space="preserve">Global Food Price Inflation Implications for South Asia, Policy Reactions, and Future Challenges: </w:t>
      </w:r>
      <w:r w:rsidRPr="0018019D">
        <w:rPr>
          <w:rFonts w:ascii="Times New Roman" w:hAnsi="Times New Roman"/>
          <w:i/>
          <w:iCs/>
          <w:sz w:val="24"/>
          <w:szCs w:val="24"/>
          <w:lang w:val="en-US"/>
        </w:rPr>
        <w:t xml:space="preserve">Sadiq Ahmed.  </w:t>
      </w:r>
      <w:r w:rsidRPr="0018019D">
        <w:rPr>
          <w:rFonts w:ascii="Times New Roman" w:hAnsi="Times New Roman"/>
          <w:sz w:val="24"/>
          <w:szCs w:val="24"/>
          <w:lang w:val="en-US"/>
        </w:rPr>
        <w:t>The World Bank South Asia Region South Asia Regional Programs Unit December 2008</w:t>
      </w:r>
    </w:p>
    <w:p w:rsidR="004A64A8" w:rsidRPr="0018019D" w:rsidRDefault="004A64A8" w:rsidP="00EC6236">
      <w:pPr>
        <w:pStyle w:val="ListParagraph"/>
        <w:numPr>
          <w:ilvl w:val="0"/>
          <w:numId w:val="6"/>
        </w:numPr>
        <w:autoSpaceDE w:val="0"/>
        <w:autoSpaceDN w:val="0"/>
        <w:adjustRightInd w:val="0"/>
        <w:spacing w:after="0" w:line="240" w:lineRule="auto"/>
        <w:rPr>
          <w:rFonts w:ascii="Times New Roman" w:hAnsi="Times New Roman"/>
          <w:sz w:val="24"/>
          <w:szCs w:val="24"/>
          <w:lang w:val="en-US"/>
        </w:rPr>
      </w:pPr>
      <w:r w:rsidRPr="0018019D">
        <w:rPr>
          <w:rFonts w:ascii="Times New Roman" w:hAnsi="Times New Roman"/>
          <w:bCs/>
          <w:sz w:val="24"/>
          <w:szCs w:val="24"/>
          <w:lang w:val="en-US"/>
        </w:rPr>
        <w:t xml:space="preserve">Commodity Markets Review. </w:t>
      </w:r>
      <w:r w:rsidRPr="0018019D">
        <w:rPr>
          <w:rFonts w:ascii="Times New Roman" w:hAnsi="Times New Roman"/>
          <w:sz w:val="24"/>
          <w:szCs w:val="24"/>
          <w:lang w:val="en-US"/>
        </w:rPr>
        <w:t>November 12, 2008 DECPG, The World Bank.</w:t>
      </w:r>
    </w:p>
    <w:p w:rsidR="004A64A8" w:rsidRPr="0018019D" w:rsidRDefault="004A64A8" w:rsidP="00EC6236">
      <w:pPr>
        <w:pStyle w:val="ListParagraph"/>
        <w:numPr>
          <w:ilvl w:val="0"/>
          <w:numId w:val="6"/>
        </w:numPr>
        <w:autoSpaceDE w:val="0"/>
        <w:autoSpaceDN w:val="0"/>
        <w:adjustRightInd w:val="0"/>
        <w:spacing w:after="0" w:line="240" w:lineRule="auto"/>
        <w:rPr>
          <w:rFonts w:ascii="Times New Roman" w:hAnsi="Times New Roman"/>
          <w:sz w:val="24"/>
          <w:szCs w:val="24"/>
          <w:lang w:val="en-US"/>
        </w:rPr>
      </w:pPr>
      <w:r w:rsidRPr="0018019D">
        <w:rPr>
          <w:rFonts w:ascii="Times New Roman" w:hAnsi="Times New Roman"/>
          <w:sz w:val="24"/>
          <w:szCs w:val="24"/>
          <w:lang w:val="en-US"/>
        </w:rPr>
        <w:t>Farm foundation issue report; Whats driving food prices? July 2008.</w:t>
      </w:r>
    </w:p>
    <w:p w:rsidR="004A64A8" w:rsidRPr="0018019D" w:rsidRDefault="004A64A8" w:rsidP="00EC6236">
      <w:pPr>
        <w:pStyle w:val="ListParagraph"/>
        <w:numPr>
          <w:ilvl w:val="0"/>
          <w:numId w:val="6"/>
        </w:numPr>
        <w:autoSpaceDE w:val="0"/>
        <w:autoSpaceDN w:val="0"/>
        <w:adjustRightInd w:val="0"/>
        <w:spacing w:after="0" w:line="240" w:lineRule="auto"/>
        <w:rPr>
          <w:rFonts w:ascii="Times New Roman" w:hAnsi="Times New Roman"/>
          <w:sz w:val="24"/>
          <w:szCs w:val="24"/>
        </w:rPr>
      </w:pPr>
      <w:r w:rsidRPr="0018019D">
        <w:rPr>
          <w:rFonts w:ascii="Times New Roman" w:hAnsi="Times New Roman"/>
          <w:sz w:val="24"/>
          <w:szCs w:val="24"/>
        </w:rPr>
        <w:t>Estadísticas de comercio internacional 2008. Organizacion Mundial del comercio.</w:t>
      </w:r>
    </w:p>
    <w:p w:rsidR="004A64A8" w:rsidRPr="0018019D" w:rsidRDefault="004A64A8" w:rsidP="00EC6236">
      <w:pPr>
        <w:pStyle w:val="ListParagraph"/>
        <w:numPr>
          <w:ilvl w:val="0"/>
          <w:numId w:val="6"/>
        </w:numPr>
        <w:autoSpaceDE w:val="0"/>
        <w:autoSpaceDN w:val="0"/>
        <w:adjustRightInd w:val="0"/>
        <w:spacing w:after="0" w:line="240" w:lineRule="auto"/>
        <w:rPr>
          <w:rFonts w:ascii="Times New Roman" w:hAnsi="Times New Roman"/>
          <w:bCs/>
          <w:sz w:val="24"/>
          <w:szCs w:val="24"/>
          <w:lang w:val="en-US"/>
        </w:rPr>
      </w:pPr>
      <w:r w:rsidRPr="0018019D">
        <w:rPr>
          <w:rFonts w:ascii="Times New Roman" w:hAnsi="Times New Roman"/>
          <w:bCs/>
          <w:sz w:val="24"/>
          <w:szCs w:val="24"/>
          <w:lang w:val="en-US"/>
        </w:rPr>
        <w:t>Commodity Market Development in Europe – Outlook November 2007 Workshop Proceedings Editors: Lubica Bartova, Stephan Hubertus Gay, Robert M'barek</w:t>
      </w:r>
    </w:p>
    <w:p w:rsidR="004A64A8" w:rsidRPr="0018019D" w:rsidRDefault="004A64A8" w:rsidP="00EC6236">
      <w:pPr>
        <w:pStyle w:val="ListParagraph"/>
        <w:numPr>
          <w:ilvl w:val="0"/>
          <w:numId w:val="6"/>
        </w:numPr>
        <w:autoSpaceDE w:val="0"/>
        <w:autoSpaceDN w:val="0"/>
        <w:adjustRightInd w:val="0"/>
        <w:spacing w:before="120" w:after="120" w:line="240" w:lineRule="auto"/>
        <w:rPr>
          <w:rFonts w:ascii="Times New Roman" w:hAnsi="Times New Roman"/>
          <w:color w:val="000000"/>
          <w:sz w:val="24"/>
          <w:szCs w:val="24"/>
          <w:lang w:val="en-US"/>
        </w:rPr>
      </w:pPr>
      <w:r w:rsidRPr="0018019D">
        <w:rPr>
          <w:rFonts w:ascii="Times New Roman" w:hAnsi="Times New Roman"/>
          <w:bCs/>
          <w:color w:val="000000"/>
          <w:sz w:val="24"/>
          <w:szCs w:val="24"/>
          <w:lang w:val="en-US"/>
        </w:rPr>
        <w:t xml:space="preserve">How Much Did Speculation Contribute to Recent Food Price Inflation? </w:t>
      </w:r>
      <w:r w:rsidRPr="0018019D">
        <w:rPr>
          <w:rFonts w:ascii="Times New Roman" w:hAnsi="Times New Roman"/>
          <w:color w:val="000000"/>
          <w:sz w:val="24"/>
          <w:szCs w:val="24"/>
          <w:lang w:val="en-US"/>
        </w:rPr>
        <w:t xml:space="preserve">: </w:t>
      </w:r>
      <w:r w:rsidRPr="0018019D">
        <w:rPr>
          <w:rFonts w:ascii="Times New Roman" w:hAnsi="Times New Roman"/>
          <w:bCs/>
          <w:color w:val="000000"/>
          <w:sz w:val="24"/>
          <w:szCs w:val="24"/>
          <w:lang w:val="en-US"/>
        </w:rPr>
        <w:t xml:space="preserve">Vincent Amanor-Boadu </w:t>
      </w:r>
      <w:r w:rsidRPr="0018019D">
        <w:rPr>
          <w:rFonts w:ascii="Times New Roman" w:hAnsi="Times New Roman"/>
          <w:color w:val="000000"/>
          <w:sz w:val="24"/>
          <w:szCs w:val="24"/>
          <w:lang w:val="en-US"/>
        </w:rPr>
        <w:t xml:space="preserve"> </w:t>
      </w:r>
      <w:r w:rsidRPr="0018019D">
        <w:rPr>
          <w:rFonts w:ascii="Times New Roman" w:hAnsi="Times New Roman"/>
          <w:bCs/>
          <w:color w:val="000000"/>
          <w:sz w:val="24"/>
          <w:szCs w:val="24"/>
          <w:lang w:val="en-US"/>
        </w:rPr>
        <w:t xml:space="preserve">Yacob A. Zereyesus </w:t>
      </w:r>
      <w:r w:rsidRPr="0018019D">
        <w:rPr>
          <w:rFonts w:ascii="Times New Roman" w:hAnsi="Times New Roman"/>
          <w:color w:val="000000"/>
          <w:sz w:val="24"/>
          <w:szCs w:val="24"/>
          <w:lang w:val="en-US"/>
        </w:rPr>
        <w:t xml:space="preserve"> </w:t>
      </w:r>
      <w:r w:rsidRPr="0018019D">
        <w:rPr>
          <w:rFonts w:ascii="Times New Roman" w:hAnsi="Times New Roman"/>
          <w:bCs/>
          <w:color w:val="000000"/>
          <w:sz w:val="24"/>
          <w:szCs w:val="24"/>
          <w:lang w:val="en-US"/>
        </w:rPr>
        <w:t xml:space="preserve">Kansas State University </w:t>
      </w:r>
      <w:r w:rsidRPr="0018019D">
        <w:rPr>
          <w:rFonts w:ascii="Times New Roman" w:hAnsi="Times New Roman"/>
          <w:color w:val="000000"/>
          <w:sz w:val="24"/>
          <w:szCs w:val="24"/>
          <w:lang w:val="en-US"/>
        </w:rPr>
        <w:t xml:space="preserve"> </w:t>
      </w:r>
      <w:r w:rsidRPr="0018019D">
        <w:rPr>
          <w:rFonts w:ascii="Times New Roman" w:hAnsi="Times New Roman"/>
          <w:bCs/>
          <w:color w:val="000000"/>
          <w:sz w:val="24"/>
          <w:szCs w:val="24"/>
          <w:lang w:val="en-US"/>
        </w:rPr>
        <w:t xml:space="preserve">Department of Agricultural Economics </w:t>
      </w:r>
    </w:p>
    <w:p w:rsidR="004A64A8" w:rsidRPr="0018019D" w:rsidRDefault="004A64A8" w:rsidP="001E4ED7">
      <w:pPr>
        <w:pStyle w:val="ListParagraph"/>
        <w:numPr>
          <w:ilvl w:val="0"/>
          <w:numId w:val="6"/>
        </w:numPr>
        <w:autoSpaceDE w:val="0"/>
        <w:autoSpaceDN w:val="0"/>
        <w:adjustRightInd w:val="0"/>
        <w:spacing w:after="0" w:line="240" w:lineRule="auto"/>
        <w:rPr>
          <w:rFonts w:ascii="Times New Roman" w:hAnsi="Times New Roman"/>
          <w:bCs/>
          <w:color w:val="000909"/>
          <w:sz w:val="24"/>
          <w:szCs w:val="24"/>
          <w:lang w:val="en-US"/>
        </w:rPr>
      </w:pPr>
      <w:r w:rsidRPr="0018019D">
        <w:rPr>
          <w:rFonts w:ascii="Times New Roman" w:hAnsi="Times New Roman"/>
          <w:bCs/>
          <w:color w:val="000909"/>
          <w:sz w:val="24"/>
          <w:szCs w:val="24"/>
          <w:lang w:val="en-US"/>
        </w:rPr>
        <w:t xml:space="preserve">Causes &amp; implications of the food price surge: </w:t>
      </w:r>
      <w:r w:rsidRPr="0018019D">
        <w:rPr>
          <w:rFonts w:ascii="Times New Roman" w:hAnsi="Times New Roman"/>
          <w:color w:val="000909"/>
          <w:sz w:val="24"/>
          <w:szCs w:val="24"/>
          <w:lang w:val="en-US"/>
        </w:rPr>
        <w:t>Fapri_mu report December 2008. Food and agriculture research institute. University of Missouri.</w:t>
      </w:r>
    </w:p>
    <w:p w:rsidR="004A64A8" w:rsidRPr="0018019D" w:rsidRDefault="004A64A8" w:rsidP="001E4ED7">
      <w:pPr>
        <w:pStyle w:val="Default"/>
        <w:numPr>
          <w:ilvl w:val="0"/>
          <w:numId w:val="6"/>
        </w:numPr>
        <w:rPr>
          <w:lang w:val="en-US"/>
        </w:rPr>
      </w:pPr>
      <w:r w:rsidRPr="0018019D">
        <w:rPr>
          <w:bCs/>
          <w:lang w:val="en-US"/>
        </w:rPr>
        <w:t xml:space="preserve">Long-term Global Agricultural Output Supply-Demand Balance and Real Farm and Food Prices: </w:t>
      </w:r>
      <w:r w:rsidRPr="0018019D">
        <w:rPr>
          <w:lang w:val="en-US"/>
        </w:rPr>
        <w:t xml:space="preserve">Luther Tweeten, Stanley R. Thompson. December 2008 </w:t>
      </w:r>
    </w:p>
    <w:p w:rsidR="004A64A8" w:rsidRPr="0018019D" w:rsidRDefault="004A64A8" w:rsidP="001E4ED7">
      <w:pPr>
        <w:pStyle w:val="Default"/>
        <w:numPr>
          <w:ilvl w:val="0"/>
          <w:numId w:val="6"/>
        </w:numPr>
      </w:pPr>
      <w:r w:rsidRPr="0018019D">
        <w:rPr>
          <w:bCs/>
          <w:lang w:val="en-US"/>
        </w:rPr>
        <w:t xml:space="preserve">General equilibrium effects of price distortions on global markets, farm incomes and welfare </w:t>
      </w:r>
      <w:r w:rsidRPr="0018019D">
        <w:rPr>
          <w:lang w:val="en-US"/>
        </w:rPr>
        <w:t>: Ernesto Valenzuela, Dominique van der Mensbrugghe and Kym Anderson. Agricultural Distortions Working Paper 73, September 2008</w:t>
      </w:r>
    </w:p>
    <w:p w:rsidR="004A64A8" w:rsidRPr="0018019D" w:rsidRDefault="004A64A8" w:rsidP="001E4ED7">
      <w:pPr>
        <w:pStyle w:val="ListParagraph"/>
        <w:numPr>
          <w:ilvl w:val="0"/>
          <w:numId w:val="6"/>
        </w:numPr>
        <w:shd w:val="clear" w:color="auto" w:fill="FFFFFF"/>
        <w:spacing w:after="150" w:line="240" w:lineRule="auto"/>
        <w:ind w:right="150"/>
        <w:outlineLvl w:val="0"/>
        <w:rPr>
          <w:rFonts w:ascii="Times New Roman" w:hAnsi="Times New Roman"/>
          <w:kern w:val="36"/>
          <w:sz w:val="24"/>
          <w:szCs w:val="24"/>
          <w:lang w:val="en-US" w:eastAsia="es-ES"/>
        </w:rPr>
      </w:pPr>
      <w:r w:rsidRPr="0018019D">
        <w:rPr>
          <w:rFonts w:ascii="Times New Roman" w:hAnsi="Times New Roman"/>
          <w:kern w:val="36"/>
          <w:sz w:val="24"/>
          <w:szCs w:val="24"/>
          <w:lang w:val="en-US" w:eastAsia="es-ES"/>
        </w:rPr>
        <w:t>What’s causing global food price inflation?</w:t>
      </w:r>
      <w:r w:rsidRPr="0018019D">
        <w:rPr>
          <w:rFonts w:ascii="Times New Roman" w:hAnsi="Times New Roman"/>
          <w:sz w:val="24"/>
          <w:szCs w:val="24"/>
          <w:lang w:val="en-US" w:eastAsia="es-ES"/>
        </w:rPr>
        <w:t xml:space="preserve"> </w:t>
      </w:r>
      <w:hyperlink r:id="rId16" w:history="1">
        <w:r w:rsidRPr="0018019D">
          <w:rPr>
            <w:rFonts w:ascii="Times New Roman" w:hAnsi="Times New Roman"/>
            <w:sz w:val="24"/>
            <w:szCs w:val="24"/>
            <w:lang w:eastAsia="es-ES"/>
          </w:rPr>
          <w:t>Stefan Tangermann</w:t>
        </w:r>
      </w:hyperlink>
      <w:r w:rsidRPr="0018019D">
        <w:rPr>
          <w:rFonts w:ascii="Times New Roman" w:hAnsi="Times New Roman"/>
          <w:sz w:val="24"/>
          <w:szCs w:val="24"/>
          <w:lang w:eastAsia="es-ES"/>
        </w:rPr>
        <w:t>: VOX</w:t>
      </w:r>
    </w:p>
    <w:tbl>
      <w:tblPr>
        <w:tblW w:w="5000" w:type="pct"/>
        <w:tblCellSpacing w:w="7" w:type="dxa"/>
        <w:tblCellMar>
          <w:top w:w="15" w:type="dxa"/>
          <w:left w:w="15" w:type="dxa"/>
          <w:bottom w:w="15" w:type="dxa"/>
          <w:right w:w="15" w:type="dxa"/>
        </w:tblCellMar>
        <w:tblLook w:val="00A0"/>
      </w:tblPr>
      <w:tblGrid>
        <w:gridCol w:w="8652"/>
      </w:tblGrid>
      <w:tr w:rsidR="004A64A8" w:rsidRPr="00D1334F" w:rsidTr="001E4ED7">
        <w:trPr>
          <w:tblCellSpacing w:w="7" w:type="dxa"/>
        </w:trPr>
        <w:tc>
          <w:tcPr>
            <w:tcW w:w="0" w:type="auto"/>
            <w:tcMar>
              <w:top w:w="60" w:type="dxa"/>
              <w:left w:w="60" w:type="dxa"/>
              <w:bottom w:w="60" w:type="dxa"/>
              <w:right w:w="60" w:type="dxa"/>
            </w:tcMar>
          </w:tcPr>
          <w:p w:rsidR="004A64A8" w:rsidRPr="001E4ED7" w:rsidRDefault="004A64A8" w:rsidP="001E4ED7">
            <w:pPr>
              <w:spacing w:after="0" w:line="240" w:lineRule="auto"/>
              <w:rPr>
                <w:rFonts w:ascii="Times New Roman" w:hAnsi="Times New Roman"/>
                <w:sz w:val="24"/>
                <w:szCs w:val="24"/>
                <w:lang w:eastAsia="es-ES"/>
              </w:rPr>
            </w:pPr>
          </w:p>
        </w:tc>
      </w:tr>
    </w:tbl>
    <w:p w:rsidR="004A64A8" w:rsidRPr="0018019D" w:rsidRDefault="004A64A8" w:rsidP="001E4ED7">
      <w:pPr>
        <w:pStyle w:val="Default"/>
        <w:ind w:left="720"/>
        <w:rPr>
          <w:color w:val="auto"/>
        </w:rPr>
      </w:pPr>
    </w:p>
    <w:p w:rsidR="004A64A8" w:rsidRPr="0018019D" w:rsidRDefault="004A64A8" w:rsidP="00BA1FA3">
      <w:pPr>
        <w:rPr>
          <w:rFonts w:ascii="Times New Roman" w:hAnsi="Times New Roman"/>
          <w:sz w:val="24"/>
          <w:szCs w:val="24"/>
          <w:lang w:val="en-US"/>
        </w:rPr>
      </w:pPr>
    </w:p>
    <w:sectPr w:rsidR="004A64A8" w:rsidRPr="0018019D" w:rsidSect="002D601C">
      <w:footerReference w:type="even" r:id="rId17"/>
      <w:footerReference w:type="default" r:id="rId18"/>
      <w:pgSz w:w="11906" w:h="16838"/>
      <w:pgMar w:top="1417" w:right="1701" w:bottom="1417"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A64A8" w:rsidRDefault="004A64A8">
      <w:r>
        <w:separator/>
      </w:r>
    </w:p>
  </w:endnote>
  <w:endnote w:type="continuationSeparator" w:id="0">
    <w:p w:rsidR="004A64A8" w:rsidRDefault="004A64A8">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A64A8" w:rsidRDefault="004A64A8" w:rsidP="005B6B98">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4A64A8" w:rsidRDefault="004A64A8" w:rsidP="002139E9">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A64A8" w:rsidRDefault="004A64A8" w:rsidP="005B6B98">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13</w:t>
    </w:r>
    <w:r>
      <w:rPr>
        <w:rStyle w:val="PageNumber"/>
      </w:rPr>
      <w:fldChar w:fldCharType="end"/>
    </w:r>
  </w:p>
  <w:p w:rsidR="004A64A8" w:rsidRDefault="004A64A8" w:rsidP="002139E9">
    <w:pPr>
      <w:pStyle w:val="Footer"/>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A64A8" w:rsidRDefault="004A64A8">
      <w:r>
        <w:separator/>
      </w:r>
    </w:p>
  </w:footnote>
  <w:footnote w:type="continuationSeparator" w:id="0">
    <w:p w:rsidR="004A64A8" w:rsidRDefault="004A64A8">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A57112"/>
    <w:multiLevelType w:val="hybridMultilevel"/>
    <w:tmpl w:val="CE145EA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nsid w:val="46E50A4F"/>
    <w:multiLevelType w:val="hybridMultilevel"/>
    <w:tmpl w:val="3D16D1D2"/>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2">
    <w:nsid w:val="5B2C7CEB"/>
    <w:multiLevelType w:val="hybridMultilevel"/>
    <w:tmpl w:val="1682FB0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nsid w:val="610D77A4"/>
    <w:multiLevelType w:val="hybridMultilevel"/>
    <w:tmpl w:val="5B124FE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nsid w:val="69702DD3"/>
    <w:multiLevelType w:val="hybridMultilevel"/>
    <w:tmpl w:val="6772F22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nsid w:val="7C761A61"/>
    <w:multiLevelType w:val="hybridMultilevel"/>
    <w:tmpl w:val="43D6E584"/>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hint="default"/>
      </w:rPr>
    </w:lvl>
    <w:lvl w:ilvl="8" w:tplc="0C0A0005" w:tentative="1">
      <w:start w:val="1"/>
      <w:numFmt w:val="bullet"/>
      <w:lvlText w:val=""/>
      <w:lvlJc w:val="left"/>
      <w:pPr>
        <w:ind w:left="7200" w:hanging="360"/>
      </w:pPr>
      <w:rPr>
        <w:rFonts w:ascii="Wingdings" w:hAnsi="Wingdings" w:hint="default"/>
      </w:rPr>
    </w:lvl>
  </w:abstractNum>
  <w:num w:numId="1">
    <w:abstractNumId w:val="4"/>
  </w:num>
  <w:num w:numId="2">
    <w:abstractNumId w:val="5"/>
  </w:num>
  <w:num w:numId="3">
    <w:abstractNumId w:val="1"/>
  </w:num>
  <w:num w:numId="4">
    <w:abstractNumId w:val="3"/>
  </w:num>
  <w:num w:numId="5">
    <w:abstractNumId w:val="2"/>
  </w:num>
  <w:num w:numId="6">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hyphenationZone w:val="425"/>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9F7187"/>
    <w:rsid w:val="00016877"/>
    <w:rsid w:val="00016EB9"/>
    <w:rsid w:val="0003423F"/>
    <w:rsid w:val="000602CE"/>
    <w:rsid w:val="00077EA9"/>
    <w:rsid w:val="00097E36"/>
    <w:rsid w:val="000E6CE7"/>
    <w:rsid w:val="000F4AB8"/>
    <w:rsid w:val="001147F6"/>
    <w:rsid w:val="00160F9B"/>
    <w:rsid w:val="001734A1"/>
    <w:rsid w:val="0018019D"/>
    <w:rsid w:val="001E4ED7"/>
    <w:rsid w:val="001F34FD"/>
    <w:rsid w:val="00211F80"/>
    <w:rsid w:val="002139E9"/>
    <w:rsid w:val="002211FB"/>
    <w:rsid w:val="00253862"/>
    <w:rsid w:val="002554AD"/>
    <w:rsid w:val="00260A12"/>
    <w:rsid w:val="00272682"/>
    <w:rsid w:val="00275A30"/>
    <w:rsid w:val="00282D6A"/>
    <w:rsid w:val="00292D3A"/>
    <w:rsid w:val="002970E8"/>
    <w:rsid w:val="002A05D9"/>
    <w:rsid w:val="002A1B58"/>
    <w:rsid w:val="002D00C6"/>
    <w:rsid w:val="002D40ED"/>
    <w:rsid w:val="002D601C"/>
    <w:rsid w:val="002E0BA4"/>
    <w:rsid w:val="002E2E25"/>
    <w:rsid w:val="002F109E"/>
    <w:rsid w:val="0031736D"/>
    <w:rsid w:val="00325434"/>
    <w:rsid w:val="00367942"/>
    <w:rsid w:val="00375352"/>
    <w:rsid w:val="00377294"/>
    <w:rsid w:val="00380C18"/>
    <w:rsid w:val="00387DBB"/>
    <w:rsid w:val="003D4FB7"/>
    <w:rsid w:val="003E15EB"/>
    <w:rsid w:val="003E688C"/>
    <w:rsid w:val="003F42AF"/>
    <w:rsid w:val="004027FA"/>
    <w:rsid w:val="0041664B"/>
    <w:rsid w:val="00426A10"/>
    <w:rsid w:val="00436E31"/>
    <w:rsid w:val="0045570B"/>
    <w:rsid w:val="00466895"/>
    <w:rsid w:val="004A604A"/>
    <w:rsid w:val="004A64A8"/>
    <w:rsid w:val="004C15E0"/>
    <w:rsid w:val="004D2DDF"/>
    <w:rsid w:val="004D3B6D"/>
    <w:rsid w:val="004E4D7E"/>
    <w:rsid w:val="004E64E3"/>
    <w:rsid w:val="0051180A"/>
    <w:rsid w:val="00513C0D"/>
    <w:rsid w:val="00516497"/>
    <w:rsid w:val="0052284C"/>
    <w:rsid w:val="00527E93"/>
    <w:rsid w:val="00531F9F"/>
    <w:rsid w:val="00551FBF"/>
    <w:rsid w:val="0055431E"/>
    <w:rsid w:val="00594488"/>
    <w:rsid w:val="005B25D1"/>
    <w:rsid w:val="005B40FD"/>
    <w:rsid w:val="005B52AF"/>
    <w:rsid w:val="005B6B98"/>
    <w:rsid w:val="005C2D9F"/>
    <w:rsid w:val="005D6A03"/>
    <w:rsid w:val="005E002A"/>
    <w:rsid w:val="005F7174"/>
    <w:rsid w:val="00604BE4"/>
    <w:rsid w:val="0062765B"/>
    <w:rsid w:val="00630D16"/>
    <w:rsid w:val="00632156"/>
    <w:rsid w:val="00636A63"/>
    <w:rsid w:val="00651E99"/>
    <w:rsid w:val="0066427A"/>
    <w:rsid w:val="00671C71"/>
    <w:rsid w:val="00672A06"/>
    <w:rsid w:val="006753D8"/>
    <w:rsid w:val="006A1A9C"/>
    <w:rsid w:val="006C31FB"/>
    <w:rsid w:val="006E7609"/>
    <w:rsid w:val="006F48E5"/>
    <w:rsid w:val="00721007"/>
    <w:rsid w:val="007246CC"/>
    <w:rsid w:val="007448F4"/>
    <w:rsid w:val="0076708D"/>
    <w:rsid w:val="007E25D7"/>
    <w:rsid w:val="0085169A"/>
    <w:rsid w:val="00870CEF"/>
    <w:rsid w:val="008F6C28"/>
    <w:rsid w:val="008F7D9A"/>
    <w:rsid w:val="00904A98"/>
    <w:rsid w:val="009060E3"/>
    <w:rsid w:val="00937995"/>
    <w:rsid w:val="00941684"/>
    <w:rsid w:val="00977D5E"/>
    <w:rsid w:val="009F7187"/>
    <w:rsid w:val="00A2390E"/>
    <w:rsid w:val="00A41665"/>
    <w:rsid w:val="00A45339"/>
    <w:rsid w:val="00A7390E"/>
    <w:rsid w:val="00AA5547"/>
    <w:rsid w:val="00AC434F"/>
    <w:rsid w:val="00AD790B"/>
    <w:rsid w:val="00B14637"/>
    <w:rsid w:val="00BA1FA3"/>
    <w:rsid w:val="00BB107D"/>
    <w:rsid w:val="00C14BB4"/>
    <w:rsid w:val="00C231C0"/>
    <w:rsid w:val="00C53867"/>
    <w:rsid w:val="00C72B79"/>
    <w:rsid w:val="00C738E8"/>
    <w:rsid w:val="00CD3980"/>
    <w:rsid w:val="00CD64CA"/>
    <w:rsid w:val="00D072BE"/>
    <w:rsid w:val="00D1334F"/>
    <w:rsid w:val="00D235AF"/>
    <w:rsid w:val="00D9409B"/>
    <w:rsid w:val="00DB04C4"/>
    <w:rsid w:val="00DB4BFB"/>
    <w:rsid w:val="00E15DE3"/>
    <w:rsid w:val="00E165EE"/>
    <w:rsid w:val="00E309A8"/>
    <w:rsid w:val="00E36E05"/>
    <w:rsid w:val="00E47095"/>
    <w:rsid w:val="00EB3AC3"/>
    <w:rsid w:val="00EC44DE"/>
    <w:rsid w:val="00EC6236"/>
    <w:rsid w:val="00F02DBC"/>
    <w:rsid w:val="00F0720D"/>
    <w:rsid w:val="00F26156"/>
    <w:rsid w:val="00F34175"/>
    <w:rsid w:val="00F526D5"/>
    <w:rsid w:val="00F63CBF"/>
    <w:rsid w:val="00F669B9"/>
    <w:rsid w:val="00FA1401"/>
    <w:rsid w:val="00FC5AF2"/>
    <w:rsid w:val="00FF71E7"/>
  </w:rsids>
  <m:mathPr>
    <m:mathFont m:val="Cambria Math"/>
    <m:brkBin m:val="before"/>
    <m:brkBinSub m:val="--"/>
    <m:smallFrac m:val="off"/>
    <m:dispDef/>
    <m:lMargin m:val="0"/>
    <m:rMargin m:val="0"/>
    <m:defJc m:val="centerGroup"/>
    <m:wrapIndent m:val="1440"/>
    <m:intLim m:val="subSup"/>
    <m:naryLim m:val="undOvr"/>
  </m:mathPr>
  <w:uiCompat97To2003/>
  <w:attachedSchema w:val="urn:schemas-microsoft-com:office:smarttags"/>
  <w:themeFontLang w:val="es-E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es-ES" w:eastAsia="es-E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D601C"/>
    <w:pPr>
      <w:spacing w:after="200" w:line="276" w:lineRule="auto"/>
    </w:pPr>
    <w:rPr>
      <w:lang w:eastAsia="en-US"/>
    </w:rPr>
  </w:style>
  <w:style w:type="paragraph" w:styleId="Heading1">
    <w:name w:val="heading 1"/>
    <w:basedOn w:val="Normal"/>
    <w:link w:val="Heading1Char"/>
    <w:uiPriority w:val="99"/>
    <w:qFormat/>
    <w:rsid w:val="001E4ED7"/>
    <w:pPr>
      <w:spacing w:before="120" w:after="120" w:line="240" w:lineRule="auto"/>
      <w:outlineLvl w:val="0"/>
    </w:pPr>
    <w:rPr>
      <w:rFonts w:ascii="Arial" w:eastAsia="Times New Roman" w:hAnsi="Arial" w:cs="Arial"/>
      <w:b/>
      <w:bCs/>
      <w:color w:val="444444"/>
      <w:kern w:val="36"/>
      <w:sz w:val="34"/>
      <w:szCs w:val="34"/>
      <w:lang w:eastAsia="es-ES"/>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1E4ED7"/>
    <w:rPr>
      <w:rFonts w:ascii="Arial" w:hAnsi="Arial" w:cs="Arial"/>
      <w:b/>
      <w:bCs/>
      <w:color w:val="444444"/>
      <w:kern w:val="36"/>
      <w:sz w:val="34"/>
      <w:szCs w:val="34"/>
      <w:lang w:eastAsia="es-ES"/>
    </w:rPr>
  </w:style>
  <w:style w:type="paragraph" w:styleId="ListParagraph">
    <w:name w:val="List Paragraph"/>
    <w:basedOn w:val="Normal"/>
    <w:uiPriority w:val="99"/>
    <w:qFormat/>
    <w:rsid w:val="00BB107D"/>
    <w:pPr>
      <w:ind w:left="720"/>
      <w:contextualSpacing/>
    </w:pPr>
  </w:style>
  <w:style w:type="paragraph" w:styleId="BalloonText">
    <w:name w:val="Balloon Text"/>
    <w:basedOn w:val="Normal"/>
    <w:link w:val="BalloonTextChar"/>
    <w:uiPriority w:val="99"/>
    <w:semiHidden/>
    <w:rsid w:val="0066427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66427A"/>
    <w:rPr>
      <w:rFonts w:ascii="Tahoma" w:hAnsi="Tahoma" w:cs="Tahoma"/>
      <w:sz w:val="16"/>
      <w:szCs w:val="16"/>
    </w:rPr>
  </w:style>
  <w:style w:type="paragraph" w:customStyle="1" w:styleId="paracolourtext">
    <w:name w:val="paracolourtext"/>
    <w:basedOn w:val="Normal"/>
    <w:uiPriority w:val="99"/>
    <w:rsid w:val="002F109E"/>
    <w:pPr>
      <w:spacing w:before="100" w:beforeAutospacing="1" w:after="100" w:afterAutospacing="1" w:line="240" w:lineRule="auto"/>
    </w:pPr>
    <w:rPr>
      <w:rFonts w:ascii="Times New Roman" w:eastAsia="Times New Roman" w:hAnsi="Times New Roman"/>
      <w:color w:val="0080FF"/>
      <w:sz w:val="20"/>
      <w:szCs w:val="20"/>
      <w:lang w:eastAsia="es-ES"/>
    </w:rPr>
  </w:style>
  <w:style w:type="paragraph" w:customStyle="1" w:styleId="parasmallcolourtext">
    <w:name w:val="parasmallcolourtext"/>
    <w:basedOn w:val="Normal"/>
    <w:uiPriority w:val="99"/>
    <w:rsid w:val="002F109E"/>
    <w:pPr>
      <w:spacing w:before="100" w:beforeAutospacing="1" w:after="100" w:afterAutospacing="1" w:line="240" w:lineRule="auto"/>
    </w:pPr>
    <w:rPr>
      <w:rFonts w:ascii="Times New Roman" w:eastAsia="Times New Roman" w:hAnsi="Times New Roman"/>
      <w:color w:val="0080FF"/>
      <w:sz w:val="16"/>
      <w:szCs w:val="16"/>
      <w:lang w:eastAsia="es-ES"/>
    </w:rPr>
  </w:style>
  <w:style w:type="paragraph" w:customStyle="1" w:styleId="Default">
    <w:name w:val="Default"/>
    <w:uiPriority w:val="99"/>
    <w:rsid w:val="00EC6236"/>
    <w:pPr>
      <w:autoSpaceDE w:val="0"/>
      <w:autoSpaceDN w:val="0"/>
      <w:adjustRightInd w:val="0"/>
    </w:pPr>
    <w:rPr>
      <w:rFonts w:ascii="Times New Roman" w:hAnsi="Times New Roman"/>
      <w:color w:val="000000"/>
      <w:sz w:val="24"/>
      <w:szCs w:val="24"/>
      <w:lang w:eastAsia="en-US"/>
    </w:rPr>
  </w:style>
  <w:style w:type="character" w:styleId="Hyperlink">
    <w:name w:val="Hyperlink"/>
    <w:basedOn w:val="DefaultParagraphFont"/>
    <w:uiPriority w:val="99"/>
    <w:semiHidden/>
    <w:rsid w:val="001E4ED7"/>
    <w:rPr>
      <w:rFonts w:cs="Times New Roman"/>
      <w:color w:val="2763A5"/>
      <w:u w:val="none"/>
      <w:effect w:val="none"/>
    </w:rPr>
  </w:style>
  <w:style w:type="paragraph" w:styleId="NormalWeb">
    <w:name w:val="Normal (Web)"/>
    <w:basedOn w:val="Normal"/>
    <w:uiPriority w:val="99"/>
    <w:rsid w:val="001E4ED7"/>
    <w:pPr>
      <w:spacing w:after="0" w:line="240" w:lineRule="auto"/>
    </w:pPr>
    <w:rPr>
      <w:rFonts w:ascii="Times New Roman" w:eastAsia="Times New Roman" w:hAnsi="Times New Roman"/>
      <w:sz w:val="24"/>
      <w:szCs w:val="24"/>
      <w:lang w:eastAsia="es-ES"/>
    </w:rPr>
  </w:style>
  <w:style w:type="paragraph" w:styleId="Footer">
    <w:name w:val="footer"/>
    <w:basedOn w:val="Normal"/>
    <w:link w:val="FooterChar"/>
    <w:uiPriority w:val="99"/>
    <w:rsid w:val="002139E9"/>
    <w:pPr>
      <w:tabs>
        <w:tab w:val="center" w:pos="4252"/>
        <w:tab w:val="right" w:pos="8504"/>
      </w:tabs>
    </w:pPr>
  </w:style>
  <w:style w:type="character" w:customStyle="1" w:styleId="FooterChar">
    <w:name w:val="Footer Char"/>
    <w:basedOn w:val="DefaultParagraphFont"/>
    <w:link w:val="Footer"/>
    <w:uiPriority w:val="99"/>
    <w:semiHidden/>
    <w:locked/>
    <w:rPr>
      <w:rFonts w:cs="Times New Roman"/>
      <w:lang w:eastAsia="en-US"/>
    </w:rPr>
  </w:style>
  <w:style w:type="character" w:styleId="PageNumber">
    <w:name w:val="page number"/>
    <w:basedOn w:val="DefaultParagraphFont"/>
    <w:uiPriority w:val="99"/>
    <w:rsid w:val="002139E9"/>
    <w:rPr>
      <w:rFonts w:cs="Times New Roman"/>
    </w:rPr>
  </w:style>
</w:styles>
</file>

<file path=word/webSettings.xml><?xml version="1.0" encoding="utf-8"?>
<w:webSettings xmlns:r="http://schemas.openxmlformats.org/officeDocument/2006/relationships" xmlns:w="http://schemas.openxmlformats.org/wordprocessingml/2006/main">
  <w:divs>
    <w:div w:id="930315542">
      <w:marLeft w:val="0"/>
      <w:marRight w:val="0"/>
      <w:marTop w:val="0"/>
      <w:marBottom w:val="0"/>
      <w:divBdr>
        <w:top w:val="none" w:sz="0" w:space="0" w:color="auto"/>
        <w:left w:val="none" w:sz="0" w:space="0" w:color="auto"/>
        <w:bottom w:val="none" w:sz="0" w:space="0" w:color="auto"/>
        <w:right w:val="none" w:sz="0" w:space="0" w:color="auto"/>
      </w:divBdr>
      <w:divsChild>
        <w:div w:id="930315538">
          <w:marLeft w:val="0"/>
          <w:marRight w:val="0"/>
          <w:marTop w:val="0"/>
          <w:marBottom w:val="0"/>
          <w:divBdr>
            <w:top w:val="none" w:sz="0" w:space="0" w:color="auto"/>
            <w:left w:val="none" w:sz="0" w:space="0" w:color="auto"/>
            <w:bottom w:val="none" w:sz="0" w:space="0" w:color="auto"/>
            <w:right w:val="none" w:sz="0" w:space="0" w:color="auto"/>
          </w:divBdr>
          <w:divsChild>
            <w:div w:id="930315541">
              <w:marLeft w:val="150"/>
              <w:marRight w:val="150"/>
              <w:marTop w:val="0"/>
              <w:marBottom w:val="150"/>
              <w:divBdr>
                <w:top w:val="none" w:sz="0" w:space="0" w:color="auto"/>
                <w:left w:val="none" w:sz="0" w:space="0" w:color="auto"/>
                <w:bottom w:val="none" w:sz="0" w:space="0" w:color="auto"/>
                <w:right w:val="none" w:sz="0" w:space="0" w:color="auto"/>
              </w:divBdr>
              <w:divsChild>
                <w:div w:id="930315537">
                  <w:marLeft w:val="0"/>
                  <w:marRight w:val="0"/>
                  <w:marTop w:val="0"/>
                  <w:marBottom w:val="0"/>
                  <w:divBdr>
                    <w:top w:val="none" w:sz="0" w:space="0" w:color="auto"/>
                    <w:left w:val="none" w:sz="0" w:space="0" w:color="auto"/>
                    <w:bottom w:val="none" w:sz="0" w:space="0" w:color="auto"/>
                    <w:right w:val="none" w:sz="0" w:space="0" w:color="auto"/>
                  </w:divBdr>
                  <w:divsChild>
                    <w:div w:id="930315539">
                      <w:marLeft w:val="0"/>
                      <w:marRight w:val="0"/>
                      <w:marTop w:val="0"/>
                      <w:marBottom w:val="0"/>
                      <w:divBdr>
                        <w:top w:val="none" w:sz="0" w:space="0" w:color="auto"/>
                        <w:left w:val="none" w:sz="0" w:space="0" w:color="auto"/>
                        <w:bottom w:val="none" w:sz="0" w:space="0" w:color="auto"/>
                        <w:right w:val="none" w:sz="0" w:space="0" w:color="auto"/>
                      </w:divBdr>
                      <w:divsChild>
                        <w:div w:id="930315536">
                          <w:marLeft w:val="0"/>
                          <w:marRight w:val="0"/>
                          <w:marTop w:val="0"/>
                          <w:marBottom w:val="225"/>
                          <w:divBdr>
                            <w:top w:val="none" w:sz="0" w:space="0" w:color="auto"/>
                            <w:left w:val="none" w:sz="0" w:space="0" w:color="auto"/>
                            <w:bottom w:val="none" w:sz="0" w:space="0" w:color="auto"/>
                            <w:right w:val="none" w:sz="0" w:space="0" w:color="auto"/>
                          </w:divBdr>
                          <w:divsChild>
                            <w:div w:id="930315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7.emf"/><Relationship Id="rId18"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image" Target="media/image6.emf"/><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yperlink" Target="http://www.voxeu.org/index.php?q=node/1436" TargetMode="Externa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emf"/><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image" Target="media/image8.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35</TotalTime>
  <Pages>16</Pages>
  <Words>4964</Words>
  <Characters>27302</Characters>
  <Application>Microsoft Office Outlook</Application>
  <DocSecurity>0</DocSecurity>
  <Lines>0</Lines>
  <Paragraphs>0</Paragraphs>
  <ScaleCrop>false</ScaleCrop>
  <Company>Hewlett-Packard</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EL CAMBIO EN EL PRECIO DE LOS ALIMENTOS; CAUSAS Y CONSECUENCIAS</dc:title>
  <dc:subject/>
  <dc:creator>Victoria</dc:creator>
  <cp:keywords/>
  <dc:description/>
  <cp:lastModifiedBy>Carlos San Juan Mesonada</cp:lastModifiedBy>
  <cp:revision>5</cp:revision>
  <dcterms:created xsi:type="dcterms:W3CDTF">2009-09-05T00:29:00Z</dcterms:created>
  <dcterms:modified xsi:type="dcterms:W3CDTF">2010-09-08T13:07:00Z</dcterms:modified>
</cp:coreProperties>
</file>