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737" w:rsidRPr="00224AF3" w:rsidRDefault="00FB3041" w:rsidP="00AE1D52">
      <w:pPr>
        <w:pStyle w:val="NormalWeb"/>
        <w:spacing w:beforeLines="0" w:afterLines="0" w:line="360" w:lineRule="auto"/>
        <w:jc w:val="center"/>
        <w:outlineLvl w:val="0"/>
        <w:rPr>
          <w:rFonts w:ascii="Times New Roman" w:hAnsi="Times New Roman"/>
          <w:b/>
          <w:sz w:val="24"/>
          <w:szCs w:val="18"/>
          <w:lang w:val="en-GB"/>
        </w:rPr>
      </w:pPr>
      <w:r w:rsidRPr="00224AF3">
        <w:rPr>
          <w:rFonts w:ascii="Times New Roman" w:hAnsi="Times New Roman"/>
          <w:b/>
          <w:sz w:val="24"/>
          <w:szCs w:val="18"/>
          <w:lang w:val="en-GB"/>
        </w:rPr>
        <w:t>Assess</w:t>
      </w:r>
      <w:r w:rsidR="00AE1D52">
        <w:rPr>
          <w:rFonts w:ascii="Times New Roman" w:hAnsi="Times New Roman"/>
          <w:b/>
          <w:sz w:val="24"/>
          <w:szCs w:val="18"/>
          <w:lang w:val="en-GB"/>
        </w:rPr>
        <w:t>ing</w:t>
      </w:r>
      <w:r w:rsidRPr="00224AF3">
        <w:rPr>
          <w:rFonts w:ascii="Times New Roman" w:hAnsi="Times New Roman"/>
          <w:b/>
          <w:sz w:val="24"/>
          <w:szCs w:val="18"/>
          <w:lang w:val="en-GB"/>
        </w:rPr>
        <w:t xml:space="preserve"> the </w:t>
      </w:r>
      <w:r w:rsidR="00B86CE4" w:rsidRPr="00224AF3">
        <w:rPr>
          <w:rFonts w:ascii="Times New Roman" w:hAnsi="Times New Roman"/>
          <w:b/>
          <w:sz w:val="24"/>
          <w:szCs w:val="18"/>
          <w:lang w:val="en-GB"/>
        </w:rPr>
        <w:t>failures</w:t>
      </w:r>
      <w:r w:rsidR="00297CFA" w:rsidRPr="00224AF3">
        <w:rPr>
          <w:rFonts w:ascii="Times New Roman" w:hAnsi="Times New Roman"/>
          <w:b/>
          <w:sz w:val="24"/>
          <w:szCs w:val="18"/>
          <w:lang w:val="en-GB"/>
        </w:rPr>
        <w:t xml:space="preserve"> </w:t>
      </w:r>
      <w:r w:rsidRPr="00224AF3">
        <w:rPr>
          <w:rFonts w:ascii="Times New Roman" w:hAnsi="Times New Roman"/>
          <w:b/>
          <w:sz w:val="24"/>
          <w:szCs w:val="18"/>
          <w:lang w:val="en-GB"/>
        </w:rPr>
        <w:t xml:space="preserve">and successes </w:t>
      </w:r>
      <w:r w:rsidR="00297CFA" w:rsidRPr="00224AF3">
        <w:rPr>
          <w:rFonts w:ascii="Times New Roman" w:hAnsi="Times New Roman"/>
          <w:b/>
          <w:sz w:val="24"/>
          <w:szCs w:val="18"/>
          <w:lang w:val="en-GB"/>
        </w:rPr>
        <w:t>of</w:t>
      </w:r>
      <w:r w:rsidR="00671FE0" w:rsidRPr="00224AF3">
        <w:rPr>
          <w:rFonts w:ascii="Times New Roman" w:hAnsi="Times New Roman"/>
          <w:b/>
          <w:sz w:val="24"/>
          <w:szCs w:val="18"/>
          <w:lang w:val="en-GB"/>
        </w:rPr>
        <w:t xml:space="preserve"> the Lisbon Strategy</w:t>
      </w:r>
    </w:p>
    <w:p w:rsidR="00956737" w:rsidRPr="00224AF3" w:rsidRDefault="00956737" w:rsidP="00AE1D52">
      <w:pPr>
        <w:pStyle w:val="NormalWeb"/>
        <w:spacing w:beforeLines="0" w:afterLines="0" w:line="360" w:lineRule="auto"/>
        <w:jc w:val="both"/>
        <w:outlineLvl w:val="0"/>
        <w:rPr>
          <w:rFonts w:ascii="Times New Roman" w:hAnsi="Times New Roman"/>
          <w:b/>
          <w:sz w:val="24"/>
          <w:szCs w:val="18"/>
          <w:lang w:val="en-GB"/>
        </w:rPr>
      </w:pPr>
      <w:r w:rsidRPr="00224AF3">
        <w:rPr>
          <w:rFonts w:ascii="Times New Roman" w:hAnsi="Times New Roman"/>
          <w:b/>
          <w:sz w:val="24"/>
          <w:szCs w:val="18"/>
          <w:lang w:val="en-GB"/>
        </w:rPr>
        <w:t>Overview</w:t>
      </w:r>
    </w:p>
    <w:p w:rsidR="00FB3E15" w:rsidRPr="00224AF3" w:rsidRDefault="00592231" w:rsidP="00224AF3">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sz w:val="24"/>
          <w:szCs w:val="18"/>
          <w:lang w:val="en-GB"/>
        </w:rPr>
        <w:t xml:space="preserve">The quest for economic </w:t>
      </w:r>
      <w:r w:rsidR="00761C76" w:rsidRPr="00224AF3">
        <w:rPr>
          <w:rFonts w:ascii="Times New Roman" w:hAnsi="Times New Roman"/>
          <w:sz w:val="24"/>
          <w:szCs w:val="18"/>
          <w:lang w:val="en-GB"/>
        </w:rPr>
        <w:t>supremacy</w:t>
      </w:r>
      <w:r w:rsidRPr="00224AF3">
        <w:rPr>
          <w:rFonts w:ascii="Times New Roman" w:hAnsi="Times New Roman"/>
          <w:sz w:val="24"/>
          <w:szCs w:val="18"/>
          <w:lang w:val="en-GB"/>
        </w:rPr>
        <w:t xml:space="preserve"> </w:t>
      </w:r>
      <w:r w:rsidR="0011447B" w:rsidRPr="00224AF3">
        <w:rPr>
          <w:rFonts w:ascii="Times New Roman" w:hAnsi="Times New Roman"/>
          <w:sz w:val="24"/>
          <w:szCs w:val="18"/>
          <w:lang w:val="en-GB"/>
        </w:rPr>
        <w:t xml:space="preserve">has been </w:t>
      </w:r>
      <w:r w:rsidR="001631BC" w:rsidRPr="00224AF3">
        <w:rPr>
          <w:rFonts w:ascii="Times New Roman" w:hAnsi="Times New Roman"/>
          <w:sz w:val="24"/>
          <w:szCs w:val="18"/>
          <w:lang w:val="en-GB"/>
        </w:rPr>
        <w:t xml:space="preserve">at the heart of </w:t>
      </w:r>
      <w:r w:rsidR="00F1582A" w:rsidRPr="00224AF3">
        <w:rPr>
          <w:rFonts w:ascii="Times New Roman" w:hAnsi="Times New Roman"/>
          <w:sz w:val="24"/>
          <w:szCs w:val="18"/>
          <w:lang w:val="en-GB"/>
        </w:rPr>
        <w:t xml:space="preserve">the </w:t>
      </w:r>
      <w:r w:rsidR="001631BC" w:rsidRPr="00224AF3">
        <w:rPr>
          <w:rFonts w:ascii="Times New Roman" w:hAnsi="Times New Roman"/>
          <w:sz w:val="24"/>
          <w:szCs w:val="18"/>
          <w:lang w:val="en-GB"/>
        </w:rPr>
        <w:t xml:space="preserve">European integration process since its very inception. </w:t>
      </w:r>
      <w:r w:rsidR="001C1218" w:rsidRPr="00224AF3">
        <w:rPr>
          <w:rFonts w:ascii="Times New Roman" w:hAnsi="Times New Roman"/>
          <w:sz w:val="24"/>
          <w:szCs w:val="18"/>
          <w:lang w:val="en-GB"/>
        </w:rPr>
        <w:t>Tracing the his</w:t>
      </w:r>
      <w:r w:rsidR="00761C76" w:rsidRPr="00224AF3">
        <w:rPr>
          <w:rFonts w:ascii="Times New Roman" w:hAnsi="Times New Roman"/>
          <w:sz w:val="24"/>
          <w:szCs w:val="18"/>
          <w:lang w:val="en-GB"/>
        </w:rPr>
        <w:t xml:space="preserve">torical origins of the economic progress </w:t>
      </w:r>
      <w:r w:rsidR="001C1218" w:rsidRPr="00224AF3">
        <w:rPr>
          <w:rFonts w:ascii="Times New Roman" w:hAnsi="Times New Roman"/>
          <w:sz w:val="24"/>
          <w:szCs w:val="18"/>
          <w:lang w:val="en-GB"/>
        </w:rPr>
        <w:t xml:space="preserve">agenda, Europe’s </w:t>
      </w:r>
      <w:r w:rsidR="00AD3E06" w:rsidRPr="00224AF3">
        <w:rPr>
          <w:rFonts w:ascii="Times New Roman" w:hAnsi="Times New Roman"/>
          <w:sz w:val="24"/>
          <w:szCs w:val="18"/>
          <w:lang w:val="en-GB"/>
        </w:rPr>
        <w:t>ambition</w:t>
      </w:r>
      <w:r w:rsidR="001C1218" w:rsidRPr="00224AF3">
        <w:rPr>
          <w:rFonts w:ascii="Times New Roman" w:hAnsi="Times New Roman"/>
          <w:sz w:val="24"/>
          <w:szCs w:val="18"/>
          <w:lang w:val="en-GB"/>
        </w:rPr>
        <w:t xml:space="preserve"> to bolster its economy </w:t>
      </w:r>
      <w:r w:rsidR="001C1218" w:rsidRPr="00224AF3">
        <w:rPr>
          <w:rFonts w:ascii="Times New Roman" w:hAnsi="Times New Roman"/>
          <w:i/>
          <w:sz w:val="24"/>
          <w:szCs w:val="18"/>
          <w:lang w:val="en-GB"/>
        </w:rPr>
        <w:t>vis-à-vis</w:t>
      </w:r>
      <w:r w:rsidR="001C1218" w:rsidRPr="00224AF3">
        <w:rPr>
          <w:rFonts w:ascii="Times New Roman" w:hAnsi="Times New Roman"/>
          <w:sz w:val="24"/>
          <w:szCs w:val="18"/>
          <w:lang w:val="en-GB"/>
        </w:rPr>
        <w:t xml:space="preserve"> its main competitors</w:t>
      </w:r>
      <w:r w:rsidR="00EC7BCF" w:rsidRPr="00224AF3">
        <w:rPr>
          <w:rFonts w:ascii="Times New Roman" w:hAnsi="Times New Roman"/>
          <w:sz w:val="24"/>
          <w:szCs w:val="18"/>
          <w:lang w:val="en-GB"/>
        </w:rPr>
        <w:t xml:space="preserve"> has traditionally</w:t>
      </w:r>
      <w:r w:rsidR="001C1218" w:rsidRPr="00224AF3">
        <w:rPr>
          <w:rFonts w:ascii="Times New Roman" w:hAnsi="Times New Roman"/>
          <w:sz w:val="24"/>
          <w:szCs w:val="18"/>
          <w:lang w:val="en-GB"/>
        </w:rPr>
        <w:t xml:space="preserve"> </w:t>
      </w:r>
      <w:r w:rsidR="00ED6B3A" w:rsidRPr="00224AF3">
        <w:rPr>
          <w:rFonts w:ascii="Times New Roman" w:hAnsi="Times New Roman"/>
          <w:sz w:val="24"/>
          <w:szCs w:val="18"/>
          <w:lang w:val="en-GB"/>
        </w:rPr>
        <w:t>rested</w:t>
      </w:r>
      <w:r w:rsidR="00AD3E06" w:rsidRPr="00224AF3">
        <w:rPr>
          <w:rFonts w:ascii="Times New Roman" w:hAnsi="Times New Roman"/>
          <w:sz w:val="24"/>
          <w:szCs w:val="18"/>
          <w:lang w:val="en-GB"/>
        </w:rPr>
        <w:t xml:space="preserve"> on</w:t>
      </w:r>
      <w:r w:rsidR="001C1218" w:rsidRPr="00224AF3">
        <w:rPr>
          <w:rFonts w:ascii="Times New Roman" w:hAnsi="Times New Roman"/>
          <w:sz w:val="24"/>
          <w:szCs w:val="18"/>
          <w:lang w:val="en-GB"/>
        </w:rPr>
        <w:t xml:space="preserve"> </w:t>
      </w:r>
      <w:r w:rsidR="00EC7BCF" w:rsidRPr="00224AF3">
        <w:rPr>
          <w:rFonts w:ascii="Times New Roman" w:hAnsi="Times New Roman"/>
          <w:sz w:val="24"/>
          <w:szCs w:val="18"/>
          <w:lang w:val="en-GB"/>
        </w:rPr>
        <w:t xml:space="preserve">major projects, namely </w:t>
      </w:r>
      <w:r w:rsidR="001C1218" w:rsidRPr="00224AF3">
        <w:rPr>
          <w:rFonts w:ascii="Times New Roman" w:hAnsi="Times New Roman"/>
          <w:sz w:val="24"/>
          <w:szCs w:val="18"/>
          <w:lang w:val="en-GB"/>
        </w:rPr>
        <w:t>the fo</w:t>
      </w:r>
      <w:r w:rsidR="00447AA2" w:rsidRPr="00224AF3">
        <w:rPr>
          <w:rFonts w:ascii="Times New Roman" w:hAnsi="Times New Roman"/>
          <w:sz w:val="24"/>
          <w:szCs w:val="18"/>
          <w:lang w:val="en-GB"/>
        </w:rPr>
        <w:t>undation</w:t>
      </w:r>
      <w:r w:rsidR="001C1218" w:rsidRPr="00224AF3">
        <w:rPr>
          <w:rFonts w:ascii="Times New Roman" w:hAnsi="Times New Roman"/>
          <w:sz w:val="24"/>
          <w:szCs w:val="18"/>
          <w:lang w:val="en-GB"/>
        </w:rPr>
        <w:t xml:space="preserve"> of </w:t>
      </w:r>
      <w:r w:rsidR="002230C5" w:rsidRPr="00224AF3">
        <w:rPr>
          <w:rFonts w:ascii="Times New Roman" w:hAnsi="Times New Roman"/>
          <w:sz w:val="24"/>
          <w:szCs w:val="18"/>
          <w:lang w:val="en-GB"/>
        </w:rPr>
        <w:t xml:space="preserve">the </w:t>
      </w:r>
      <w:r w:rsidR="001C1218" w:rsidRPr="00224AF3">
        <w:rPr>
          <w:rFonts w:ascii="Times New Roman" w:hAnsi="Times New Roman"/>
          <w:sz w:val="24"/>
          <w:szCs w:val="18"/>
          <w:lang w:val="en-GB"/>
        </w:rPr>
        <w:t xml:space="preserve">common market in the 1950s and 1960s, the Werner Plan in the 1970s, the Single European Market in the 1980s, and the Economic </w:t>
      </w:r>
      <w:r w:rsidR="00AD3E06" w:rsidRPr="00224AF3">
        <w:rPr>
          <w:rFonts w:ascii="Times New Roman" w:hAnsi="Times New Roman"/>
          <w:sz w:val="24"/>
          <w:szCs w:val="18"/>
          <w:lang w:val="en-GB"/>
        </w:rPr>
        <w:t xml:space="preserve">and Monetary Union in the 1990s (James 2012: 10). </w:t>
      </w:r>
      <w:r w:rsidR="00447AA2" w:rsidRPr="00224AF3">
        <w:rPr>
          <w:rFonts w:ascii="Times New Roman" w:hAnsi="Times New Roman"/>
          <w:sz w:val="24"/>
          <w:szCs w:val="18"/>
          <w:lang w:val="en-GB"/>
        </w:rPr>
        <w:t>In March 2000, the European Council Summit in Lisbon marked</w:t>
      </w:r>
      <w:r w:rsidR="0096346F" w:rsidRPr="00224AF3">
        <w:rPr>
          <w:rFonts w:ascii="Times New Roman" w:hAnsi="Times New Roman"/>
          <w:sz w:val="24"/>
          <w:szCs w:val="18"/>
          <w:lang w:val="en-GB"/>
        </w:rPr>
        <w:t xml:space="preserve"> yet</w:t>
      </w:r>
      <w:r w:rsidR="00447AA2" w:rsidRPr="00224AF3">
        <w:rPr>
          <w:rFonts w:ascii="Times New Roman" w:hAnsi="Times New Roman"/>
          <w:sz w:val="24"/>
          <w:szCs w:val="18"/>
          <w:lang w:val="en-GB"/>
        </w:rPr>
        <w:t xml:space="preserve"> a</w:t>
      </w:r>
      <w:r w:rsidR="00773649" w:rsidRPr="00224AF3">
        <w:rPr>
          <w:rFonts w:ascii="Times New Roman" w:hAnsi="Times New Roman"/>
          <w:sz w:val="24"/>
          <w:szCs w:val="18"/>
          <w:lang w:val="en-GB"/>
        </w:rPr>
        <w:t>nother</w:t>
      </w:r>
      <w:r w:rsidR="00482118" w:rsidRPr="00224AF3">
        <w:rPr>
          <w:rFonts w:ascii="Times New Roman" w:hAnsi="Times New Roman"/>
          <w:sz w:val="24"/>
          <w:szCs w:val="18"/>
          <w:lang w:val="en-GB"/>
        </w:rPr>
        <w:t xml:space="preserve"> significant step in </w:t>
      </w:r>
      <w:r w:rsidR="002230C5" w:rsidRPr="00224AF3">
        <w:rPr>
          <w:rFonts w:ascii="Times New Roman" w:hAnsi="Times New Roman"/>
          <w:sz w:val="24"/>
          <w:szCs w:val="18"/>
          <w:lang w:val="en-GB"/>
        </w:rPr>
        <w:t xml:space="preserve">an </w:t>
      </w:r>
      <w:r w:rsidR="00482118" w:rsidRPr="00224AF3">
        <w:rPr>
          <w:rFonts w:ascii="Times New Roman" w:hAnsi="Times New Roman"/>
          <w:sz w:val="24"/>
          <w:szCs w:val="18"/>
          <w:lang w:val="en-GB"/>
        </w:rPr>
        <w:t>attempt</w:t>
      </w:r>
      <w:r w:rsidR="0096346F" w:rsidRPr="00224AF3">
        <w:rPr>
          <w:rFonts w:ascii="Times New Roman" w:hAnsi="Times New Roman"/>
          <w:sz w:val="24"/>
          <w:szCs w:val="18"/>
          <w:lang w:val="en-GB"/>
        </w:rPr>
        <w:t xml:space="preserve"> to offs</w:t>
      </w:r>
      <w:r w:rsidR="00A64CF2" w:rsidRPr="00224AF3">
        <w:rPr>
          <w:rFonts w:ascii="Times New Roman" w:hAnsi="Times New Roman"/>
          <w:sz w:val="24"/>
          <w:szCs w:val="18"/>
          <w:lang w:val="en-GB"/>
        </w:rPr>
        <w:t xml:space="preserve">et the EU’s uninspiring economic performance. </w:t>
      </w:r>
      <w:r w:rsidR="003A7B22" w:rsidRPr="00224AF3">
        <w:rPr>
          <w:rFonts w:ascii="Times New Roman" w:hAnsi="Times New Roman"/>
          <w:sz w:val="24"/>
          <w:szCs w:val="18"/>
          <w:lang w:val="en-GB"/>
        </w:rPr>
        <w:t xml:space="preserve">The so-called Lisbon Strategy set out to make the EU “the most competitive and dynamic knowledge-based economy in the world </w:t>
      </w:r>
      <w:r w:rsidR="00291ACA" w:rsidRPr="00224AF3">
        <w:rPr>
          <w:rFonts w:ascii="Times New Roman" w:hAnsi="Times New Roman" w:cs="Helvetica"/>
          <w:sz w:val="24"/>
          <w:szCs w:val="26"/>
          <w:lang w:val="en-GB"/>
        </w:rPr>
        <w:t>capable of sustainable economic growth with more and better jobs and greater social cohesion” by the end of the decade (</w:t>
      </w:r>
      <w:r w:rsidR="003305AE" w:rsidRPr="00224AF3">
        <w:rPr>
          <w:rFonts w:ascii="Times New Roman" w:hAnsi="Times New Roman" w:cs="Helvetica"/>
          <w:sz w:val="24"/>
          <w:szCs w:val="26"/>
          <w:lang w:val="en-GB"/>
        </w:rPr>
        <w:t>European Council</w:t>
      </w:r>
      <w:r w:rsidR="00291ACA" w:rsidRPr="00224AF3">
        <w:rPr>
          <w:rFonts w:ascii="Times New Roman" w:hAnsi="Times New Roman" w:cs="Helvetica"/>
          <w:sz w:val="24"/>
          <w:szCs w:val="26"/>
          <w:lang w:val="en-GB"/>
        </w:rPr>
        <w:t xml:space="preserve"> 2000).</w:t>
      </w:r>
      <w:r w:rsidR="001C6645" w:rsidRPr="00224AF3">
        <w:rPr>
          <w:rFonts w:ascii="Times New Roman" w:hAnsi="Times New Roman" w:cs="Helvetica"/>
          <w:sz w:val="24"/>
          <w:szCs w:val="26"/>
          <w:lang w:val="en-GB"/>
        </w:rPr>
        <w:t xml:space="preserve"> </w:t>
      </w:r>
      <w:r w:rsidR="00A100E6" w:rsidRPr="00224AF3">
        <w:rPr>
          <w:rFonts w:ascii="Times New Roman" w:hAnsi="Times New Roman" w:cs="Helvetica"/>
          <w:sz w:val="24"/>
          <w:szCs w:val="26"/>
          <w:lang w:val="en-GB"/>
        </w:rPr>
        <w:t xml:space="preserve">With emphasis on decentralized ‘soft law’ governance mechanism – Open Method of Coordination (OMC) – as a means of spreading the best practices, the implementation of the agenda relied heavily on voluntarism and peer pressure (Papadimitriou 2012: 2). However, since its launch, the scheme has been falling far short of expectations and came under </w:t>
      </w:r>
      <w:r w:rsidR="002230C5" w:rsidRPr="00224AF3">
        <w:rPr>
          <w:rFonts w:ascii="Times New Roman" w:hAnsi="Times New Roman" w:cs="Helvetica"/>
          <w:sz w:val="24"/>
          <w:szCs w:val="26"/>
          <w:lang w:val="en-GB"/>
        </w:rPr>
        <w:t xml:space="preserve">a </w:t>
      </w:r>
      <w:r w:rsidR="00A100E6" w:rsidRPr="00224AF3">
        <w:rPr>
          <w:rFonts w:ascii="Times New Roman" w:hAnsi="Times New Roman" w:cs="Helvetica"/>
          <w:sz w:val="24"/>
          <w:szCs w:val="26"/>
          <w:lang w:val="en-GB"/>
        </w:rPr>
        <w:t>great deal of critical scrutiny, most notably from Sapir (2003) and Kok (2004), prompting a substantial revision of its ambitious targets halfway through its term in 2005 only to be struck by the emerging financial crisis in 2008.</w:t>
      </w:r>
    </w:p>
    <w:p w:rsidR="00502539" w:rsidRPr="00224AF3" w:rsidRDefault="008C6E28" w:rsidP="00224AF3">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 xml:space="preserve">This aim of this </w:t>
      </w:r>
      <w:r w:rsidR="00AE1D52">
        <w:rPr>
          <w:rFonts w:ascii="Times New Roman" w:hAnsi="Times New Roman" w:cs="Helvetica"/>
          <w:sz w:val="24"/>
          <w:szCs w:val="26"/>
          <w:lang w:val="en-GB"/>
        </w:rPr>
        <w:t>article</w:t>
      </w:r>
      <w:r w:rsidRPr="00224AF3">
        <w:rPr>
          <w:rFonts w:ascii="Times New Roman" w:hAnsi="Times New Roman" w:cs="Helvetica"/>
          <w:sz w:val="24"/>
          <w:szCs w:val="26"/>
          <w:lang w:val="en-GB"/>
        </w:rPr>
        <w:t xml:space="preserve"> is to assess the Lisbon Strategy in terms of its failures and successes. </w:t>
      </w:r>
      <w:r w:rsidR="00166146" w:rsidRPr="00224AF3">
        <w:rPr>
          <w:rFonts w:ascii="Times New Roman" w:hAnsi="Times New Roman" w:cs="Helvetica"/>
          <w:sz w:val="24"/>
          <w:szCs w:val="26"/>
          <w:lang w:val="en-GB"/>
        </w:rPr>
        <w:t>I</w:t>
      </w:r>
      <w:r w:rsidRPr="00224AF3">
        <w:rPr>
          <w:rFonts w:ascii="Times New Roman" w:hAnsi="Times New Roman" w:cs="Helvetica"/>
          <w:sz w:val="24"/>
          <w:szCs w:val="26"/>
          <w:lang w:val="en-GB"/>
        </w:rPr>
        <w:t xml:space="preserve">n order to gain a comprehensive understanding of the Lisbon Strategy, </w:t>
      </w:r>
      <w:r w:rsidR="00166146" w:rsidRPr="00224AF3">
        <w:rPr>
          <w:rFonts w:ascii="Times New Roman" w:hAnsi="Times New Roman" w:cs="Helvetica"/>
          <w:sz w:val="24"/>
          <w:szCs w:val="26"/>
          <w:lang w:val="en-GB"/>
        </w:rPr>
        <w:t xml:space="preserve">the essay identifies </w:t>
      </w:r>
      <w:r w:rsidRPr="00224AF3">
        <w:rPr>
          <w:rFonts w:ascii="Times New Roman" w:hAnsi="Times New Roman" w:cs="Helvetica"/>
          <w:sz w:val="24"/>
          <w:szCs w:val="26"/>
          <w:lang w:val="en-GB"/>
        </w:rPr>
        <w:t>two</w:t>
      </w:r>
      <w:r w:rsidR="00166146" w:rsidRPr="00224AF3">
        <w:rPr>
          <w:rFonts w:ascii="Times New Roman" w:hAnsi="Times New Roman" w:cs="Helvetica"/>
          <w:sz w:val="24"/>
          <w:szCs w:val="26"/>
          <w:lang w:val="en-GB"/>
        </w:rPr>
        <w:t xml:space="preserve"> distinct categories of failures</w:t>
      </w:r>
      <w:r w:rsidRPr="00224AF3">
        <w:rPr>
          <w:rFonts w:ascii="Times New Roman" w:hAnsi="Times New Roman" w:cs="Helvetica"/>
          <w:sz w:val="24"/>
          <w:szCs w:val="26"/>
          <w:lang w:val="en-GB"/>
        </w:rPr>
        <w:t>. The first category involves output-oriented failures that centre on</w:t>
      </w:r>
      <w:r w:rsidR="00166146" w:rsidRPr="00224AF3">
        <w:rPr>
          <w:rFonts w:ascii="Times New Roman" w:hAnsi="Times New Roman" w:cs="Helvetica"/>
          <w:sz w:val="24"/>
          <w:szCs w:val="26"/>
          <w:lang w:val="en-GB"/>
        </w:rPr>
        <w:t xml:space="preserve"> the</w:t>
      </w:r>
      <w:r w:rsidRPr="00224AF3">
        <w:rPr>
          <w:rFonts w:ascii="Times New Roman" w:hAnsi="Times New Roman" w:cs="Helvetica"/>
          <w:sz w:val="24"/>
          <w:szCs w:val="26"/>
          <w:lang w:val="en-GB"/>
        </w:rPr>
        <w:t xml:space="preserve"> Strategy’s performance in light of its </w:t>
      </w:r>
      <w:r w:rsidR="00166146" w:rsidRPr="00224AF3">
        <w:rPr>
          <w:rFonts w:ascii="Times New Roman" w:hAnsi="Times New Roman" w:cs="Helvetica"/>
          <w:sz w:val="24"/>
          <w:szCs w:val="26"/>
          <w:lang w:val="en-GB"/>
        </w:rPr>
        <w:t xml:space="preserve">goal quoted above. </w:t>
      </w:r>
      <w:r w:rsidRPr="00224AF3">
        <w:rPr>
          <w:rFonts w:ascii="Times New Roman" w:hAnsi="Times New Roman" w:cs="Helvetica"/>
          <w:sz w:val="24"/>
          <w:szCs w:val="26"/>
          <w:lang w:val="en-GB"/>
        </w:rPr>
        <w:t xml:space="preserve">By examining </w:t>
      </w:r>
      <w:r w:rsidR="002230C5" w:rsidRPr="00224AF3">
        <w:rPr>
          <w:rFonts w:ascii="Times New Roman" w:hAnsi="Times New Roman" w:cs="Helvetica"/>
          <w:sz w:val="24"/>
          <w:szCs w:val="26"/>
          <w:lang w:val="en-GB"/>
        </w:rPr>
        <w:t xml:space="preserve">the </w:t>
      </w:r>
      <w:r w:rsidRPr="00224AF3">
        <w:rPr>
          <w:rFonts w:ascii="Times New Roman" w:hAnsi="Times New Roman" w:cs="Helvetica"/>
          <w:sz w:val="24"/>
          <w:szCs w:val="26"/>
          <w:lang w:val="en-GB"/>
        </w:rPr>
        <w:t>development in each individual sub-aim, the analys</w:t>
      </w:r>
      <w:r w:rsidR="00166146" w:rsidRPr="00224AF3">
        <w:rPr>
          <w:rFonts w:ascii="Times New Roman" w:hAnsi="Times New Roman" w:cs="Helvetica"/>
          <w:sz w:val="24"/>
          <w:szCs w:val="26"/>
          <w:lang w:val="en-GB"/>
        </w:rPr>
        <w:t>is posits non-fulfilment in every aspect</w:t>
      </w:r>
      <w:r w:rsidRPr="00224AF3">
        <w:rPr>
          <w:rFonts w:ascii="Times New Roman" w:hAnsi="Times New Roman" w:cs="Helvetica"/>
          <w:sz w:val="24"/>
          <w:szCs w:val="26"/>
          <w:lang w:val="en-GB"/>
        </w:rPr>
        <w:t xml:space="preserve"> of this overarching aim. I label this set of failures as </w:t>
      </w:r>
      <w:r w:rsidRPr="00224AF3">
        <w:rPr>
          <w:rFonts w:ascii="Times New Roman" w:hAnsi="Times New Roman" w:cs="Helvetica"/>
          <w:i/>
          <w:sz w:val="24"/>
          <w:szCs w:val="26"/>
          <w:lang w:val="en-GB"/>
        </w:rPr>
        <w:t>consequential</w:t>
      </w:r>
      <w:r w:rsidRPr="00224AF3">
        <w:rPr>
          <w:rFonts w:ascii="Times New Roman" w:hAnsi="Times New Roman" w:cs="Helvetica"/>
          <w:sz w:val="24"/>
          <w:szCs w:val="26"/>
          <w:lang w:val="en-GB"/>
        </w:rPr>
        <w:t xml:space="preserve">, as they constitute a </w:t>
      </w:r>
      <w:r w:rsidR="00166146" w:rsidRPr="00224AF3">
        <w:rPr>
          <w:rFonts w:ascii="Times New Roman" w:hAnsi="Times New Roman" w:cs="Helvetica"/>
          <w:sz w:val="24"/>
          <w:szCs w:val="26"/>
          <w:lang w:val="en-GB"/>
        </w:rPr>
        <w:t>direct outcome of</w:t>
      </w:r>
      <w:r w:rsidR="002230C5" w:rsidRPr="00224AF3">
        <w:rPr>
          <w:rFonts w:ascii="Times New Roman" w:hAnsi="Times New Roman" w:cs="Helvetica"/>
          <w:sz w:val="24"/>
          <w:szCs w:val="26"/>
          <w:lang w:val="en-GB"/>
        </w:rPr>
        <w:t xml:space="preserve"> the</w:t>
      </w:r>
      <w:r w:rsidR="00166146" w:rsidRPr="00224AF3">
        <w:rPr>
          <w:rFonts w:ascii="Times New Roman" w:hAnsi="Times New Roman" w:cs="Helvetica"/>
          <w:sz w:val="24"/>
          <w:szCs w:val="26"/>
          <w:lang w:val="en-GB"/>
        </w:rPr>
        <w:t xml:space="preserve"> underlying category</w:t>
      </w:r>
      <w:r w:rsidRPr="00224AF3">
        <w:rPr>
          <w:rFonts w:ascii="Times New Roman" w:hAnsi="Times New Roman" w:cs="Helvetica"/>
          <w:sz w:val="24"/>
          <w:szCs w:val="26"/>
          <w:lang w:val="en-GB"/>
        </w:rPr>
        <w:t xml:space="preserve"> </w:t>
      </w:r>
      <w:r w:rsidR="00166146" w:rsidRPr="00224AF3">
        <w:rPr>
          <w:rFonts w:ascii="Times New Roman" w:hAnsi="Times New Roman" w:cs="Helvetica"/>
          <w:sz w:val="24"/>
          <w:szCs w:val="26"/>
          <w:lang w:val="en-GB"/>
        </w:rPr>
        <w:t xml:space="preserve">of </w:t>
      </w:r>
      <w:r w:rsidR="00166146" w:rsidRPr="00224AF3">
        <w:rPr>
          <w:rFonts w:ascii="Times New Roman" w:hAnsi="Times New Roman" w:cs="Helvetica"/>
          <w:i/>
          <w:sz w:val="24"/>
          <w:szCs w:val="26"/>
          <w:lang w:val="en-GB"/>
        </w:rPr>
        <w:t>causal</w:t>
      </w:r>
      <w:r w:rsidR="00166146" w:rsidRPr="00224AF3">
        <w:rPr>
          <w:rFonts w:ascii="Times New Roman" w:hAnsi="Times New Roman" w:cs="Helvetica"/>
          <w:sz w:val="24"/>
          <w:szCs w:val="26"/>
          <w:lang w:val="en-GB"/>
        </w:rPr>
        <w:t xml:space="preserve"> failures.</w:t>
      </w:r>
      <w:r w:rsidRPr="00224AF3">
        <w:rPr>
          <w:rFonts w:ascii="Times New Roman" w:hAnsi="Times New Roman" w:cs="Helvetica"/>
          <w:sz w:val="24"/>
          <w:szCs w:val="26"/>
          <w:lang w:val="en-GB"/>
        </w:rPr>
        <w:t xml:space="preserve"> </w:t>
      </w:r>
      <w:r w:rsidR="00166146" w:rsidRPr="00224AF3">
        <w:rPr>
          <w:rFonts w:ascii="Times New Roman" w:hAnsi="Times New Roman" w:cs="Helvetica"/>
          <w:sz w:val="24"/>
          <w:szCs w:val="26"/>
          <w:lang w:val="en-GB"/>
        </w:rPr>
        <w:t>These</w:t>
      </w:r>
      <w:r w:rsidRPr="00224AF3">
        <w:rPr>
          <w:rFonts w:ascii="Times New Roman" w:hAnsi="Times New Roman" w:cs="Helvetica"/>
          <w:sz w:val="24"/>
          <w:szCs w:val="26"/>
          <w:lang w:val="en-GB"/>
        </w:rPr>
        <w:t xml:space="preserve"> relate to the way the Lisbon Strategy was pu</w:t>
      </w:r>
      <w:r w:rsidR="00166146" w:rsidRPr="00224AF3">
        <w:rPr>
          <w:rFonts w:ascii="Times New Roman" w:hAnsi="Times New Roman" w:cs="Helvetica"/>
          <w:sz w:val="24"/>
          <w:szCs w:val="26"/>
          <w:lang w:val="en-GB"/>
        </w:rPr>
        <w:t>rsued, all</w:t>
      </w:r>
      <w:r w:rsidR="00A100E6" w:rsidRPr="00224AF3">
        <w:rPr>
          <w:rFonts w:ascii="Times New Roman" w:hAnsi="Times New Roman" w:cs="Helvetica"/>
          <w:sz w:val="24"/>
          <w:szCs w:val="26"/>
          <w:lang w:val="en-GB"/>
        </w:rPr>
        <w:t>owing us to understand factors t</w:t>
      </w:r>
      <w:r w:rsidRPr="00224AF3">
        <w:rPr>
          <w:rFonts w:ascii="Times New Roman" w:hAnsi="Times New Roman" w:cs="Helvetica"/>
          <w:sz w:val="24"/>
          <w:szCs w:val="26"/>
          <w:lang w:val="en-GB"/>
        </w:rPr>
        <w:t>hat induced the disappointing results of the project in the first place</w:t>
      </w:r>
      <w:r w:rsidR="00166146" w:rsidRPr="00224AF3">
        <w:rPr>
          <w:rFonts w:ascii="Times New Roman" w:hAnsi="Times New Roman" w:cs="Helvetica"/>
          <w:sz w:val="24"/>
          <w:szCs w:val="26"/>
          <w:lang w:val="en-GB"/>
        </w:rPr>
        <w:t xml:space="preserve">. </w:t>
      </w:r>
      <w:r w:rsidRPr="00224AF3">
        <w:rPr>
          <w:rFonts w:ascii="Times New Roman" w:hAnsi="Times New Roman" w:cs="Helvetica"/>
          <w:sz w:val="24"/>
          <w:szCs w:val="26"/>
          <w:lang w:val="en-GB"/>
        </w:rPr>
        <w:t xml:space="preserve">In simple terms, whereas the first category demonstrates </w:t>
      </w:r>
      <w:r w:rsidRPr="00224AF3">
        <w:rPr>
          <w:rFonts w:ascii="Times New Roman" w:hAnsi="Times New Roman" w:cs="Helvetica"/>
          <w:i/>
          <w:sz w:val="24"/>
          <w:szCs w:val="26"/>
          <w:lang w:val="en-GB"/>
        </w:rPr>
        <w:t>how</w:t>
      </w:r>
      <w:r w:rsidRPr="00224AF3">
        <w:rPr>
          <w:rFonts w:ascii="Times New Roman" w:hAnsi="Times New Roman" w:cs="Helvetica"/>
          <w:sz w:val="24"/>
          <w:szCs w:val="26"/>
          <w:lang w:val="en-GB"/>
        </w:rPr>
        <w:t xml:space="preserve"> the Lisbon Strategy culminated into a failure, the second one explains </w:t>
      </w:r>
      <w:r w:rsidRPr="00224AF3">
        <w:rPr>
          <w:rFonts w:ascii="Times New Roman" w:hAnsi="Times New Roman" w:cs="Helvetica"/>
          <w:i/>
          <w:sz w:val="24"/>
          <w:szCs w:val="26"/>
          <w:lang w:val="en-GB"/>
        </w:rPr>
        <w:t>why</w:t>
      </w:r>
      <w:r w:rsidRPr="00224AF3">
        <w:rPr>
          <w:rFonts w:ascii="Times New Roman" w:hAnsi="Times New Roman" w:cs="Helvetica"/>
          <w:sz w:val="24"/>
          <w:szCs w:val="26"/>
          <w:lang w:val="en-GB"/>
        </w:rPr>
        <w:t xml:space="preserve"> this was the case.</w:t>
      </w:r>
      <w:r w:rsidR="00166146" w:rsidRPr="00224AF3">
        <w:rPr>
          <w:rFonts w:ascii="Times New Roman" w:hAnsi="Times New Roman" w:cs="Helvetica"/>
          <w:sz w:val="24"/>
          <w:szCs w:val="26"/>
          <w:lang w:val="en-GB"/>
        </w:rPr>
        <w:t xml:space="preserve"> Finally, the essay acknow</w:t>
      </w:r>
      <w:r w:rsidR="00A100E6" w:rsidRPr="00224AF3">
        <w:rPr>
          <w:rFonts w:ascii="Times New Roman" w:hAnsi="Times New Roman" w:cs="Helvetica"/>
          <w:sz w:val="24"/>
          <w:szCs w:val="26"/>
          <w:lang w:val="en-GB"/>
        </w:rPr>
        <w:t xml:space="preserve">ledges that the single positive, yet still dubious, </w:t>
      </w:r>
      <w:r w:rsidR="00166146" w:rsidRPr="00224AF3">
        <w:rPr>
          <w:rFonts w:ascii="Times New Roman" w:hAnsi="Times New Roman" w:cs="Helvetica"/>
          <w:sz w:val="24"/>
          <w:szCs w:val="26"/>
          <w:lang w:val="en-GB"/>
        </w:rPr>
        <w:t xml:space="preserve">development of the Lisbon Strategy </w:t>
      </w:r>
      <w:r w:rsidR="00A100E6" w:rsidRPr="00224AF3">
        <w:rPr>
          <w:rFonts w:ascii="Times New Roman" w:hAnsi="Times New Roman" w:cs="Helvetica"/>
          <w:sz w:val="24"/>
          <w:szCs w:val="26"/>
          <w:lang w:val="en-GB"/>
        </w:rPr>
        <w:t>lies in its capacity to encourage policy learning through partial Europeanization of policy problems.</w:t>
      </w:r>
    </w:p>
    <w:p w:rsidR="00502539" w:rsidRPr="00224AF3" w:rsidRDefault="00F850F2" w:rsidP="00AE1D52">
      <w:pPr>
        <w:pStyle w:val="NormalWeb"/>
        <w:spacing w:beforeLines="0" w:afterLines="0" w:line="360" w:lineRule="auto"/>
        <w:jc w:val="both"/>
        <w:outlineLvl w:val="0"/>
        <w:rPr>
          <w:rFonts w:ascii="Times New Roman" w:hAnsi="Times New Roman" w:cs="Helvetica"/>
          <w:b/>
          <w:sz w:val="24"/>
          <w:szCs w:val="26"/>
          <w:lang w:val="en-GB"/>
        </w:rPr>
      </w:pPr>
      <w:r w:rsidRPr="00224AF3">
        <w:rPr>
          <w:rFonts w:ascii="Times New Roman" w:hAnsi="Times New Roman" w:cs="Helvetica"/>
          <w:b/>
          <w:sz w:val="24"/>
          <w:szCs w:val="26"/>
          <w:lang w:val="en-GB"/>
        </w:rPr>
        <w:lastRenderedPageBreak/>
        <w:t xml:space="preserve">A) Consequential </w:t>
      </w:r>
      <w:r w:rsidR="00142901" w:rsidRPr="00224AF3">
        <w:rPr>
          <w:rFonts w:ascii="Times New Roman" w:hAnsi="Times New Roman" w:cs="Helvetica"/>
          <w:b/>
          <w:sz w:val="24"/>
          <w:szCs w:val="26"/>
          <w:lang w:val="en-GB"/>
        </w:rPr>
        <w:t>Failures</w:t>
      </w:r>
    </w:p>
    <w:p w:rsidR="00240B5B" w:rsidRPr="00224AF3" w:rsidRDefault="00045E66" w:rsidP="00AE1D52">
      <w:pPr>
        <w:pStyle w:val="NormalWeb"/>
        <w:spacing w:beforeLines="0" w:afterLines="0" w:line="360" w:lineRule="auto"/>
        <w:jc w:val="both"/>
        <w:outlineLvl w:val="0"/>
        <w:rPr>
          <w:rFonts w:ascii="Times New Roman" w:hAnsi="Times New Roman" w:cs="Helvetica"/>
          <w:b/>
          <w:i/>
          <w:sz w:val="24"/>
          <w:szCs w:val="26"/>
          <w:lang w:val="en-GB"/>
        </w:rPr>
      </w:pPr>
      <w:r w:rsidRPr="00224AF3">
        <w:rPr>
          <w:rFonts w:ascii="Times New Roman" w:hAnsi="Times New Roman" w:cs="Helvetica"/>
          <w:b/>
          <w:i/>
          <w:sz w:val="24"/>
          <w:szCs w:val="26"/>
          <w:lang w:val="en-GB"/>
        </w:rPr>
        <w:t xml:space="preserve">Failure to become the Most </w:t>
      </w:r>
      <w:r w:rsidR="00240B5B" w:rsidRPr="00224AF3">
        <w:rPr>
          <w:rFonts w:ascii="Times New Roman" w:hAnsi="Times New Roman" w:cs="Helvetica"/>
          <w:b/>
          <w:i/>
          <w:sz w:val="24"/>
          <w:szCs w:val="26"/>
          <w:lang w:val="en-GB"/>
        </w:rPr>
        <w:t>Competitive</w:t>
      </w:r>
      <w:r w:rsidRPr="00224AF3">
        <w:rPr>
          <w:rFonts w:ascii="Times New Roman" w:hAnsi="Times New Roman" w:cs="Helvetica"/>
          <w:b/>
          <w:i/>
          <w:sz w:val="24"/>
          <w:szCs w:val="26"/>
          <w:lang w:val="en-GB"/>
        </w:rPr>
        <w:t xml:space="preserve"> </w:t>
      </w:r>
      <w:r w:rsidR="00B13614" w:rsidRPr="00224AF3">
        <w:rPr>
          <w:rFonts w:ascii="Times New Roman" w:hAnsi="Times New Roman" w:cs="Helvetica"/>
          <w:b/>
          <w:i/>
          <w:sz w:val="24"/>
          <w:szCs w:val="26"/>
          <w:lang w:val="en-GB"/>
        </w:rPr>
        <w:t xml:space="preserve">and Knowledge-Based </w:t>
      </w:r>
      <w:r w:rsidR="00FF20A9" w:rsidRPr="00224AF3">
        <w:rPr>
          <w:rFonts w:ascii="Times New Roman" w:hAnsi="Times New Roman" w:cs="Helvetica"/>
          <w:b/>
          <w:i/>
          <w:sz w:val="24"/>
          <w:szCs w:val="26"/>
          <w:lang w:val="en-GB"/>
        </w:rPr>
        <w:t xml:space="preserve">Economy </w:t>
      </w:r>
    </w:p>
    <w:p w:rsidR="00B0386B" w:rsidRPr="00224AF3" w:rsidRDefault="00FF20A9" w:rsidP="00224AF3">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Of all the</w:t>
      </w:r>
      <w:r w:rsidR="00502539" w:rsidRPr="00224AF3">
        <w:rPr>
          <w:rFonts w:ascii="Times New Roman" w:hAnsi="Times New Roman" w:cs="Helvetica"/>
          <w:sz w:val="24"/>
          <w:szCs w:val="26"/>
          <w:lang w:val="en-GB"/>
        </w:rPr>
        <w:t xml:space="preserve"> </w:t>
      </w:r>
      <w:r w:rsidR="00870B3A" w:rsidRPr="00224AF3">
        <w:rPr>
          <w:rFonts w:ascii="Times New Roman" w:hAnsi="Times New Roman" w:cs="Helvetica"/>
          <w:sz w:val="24"/>
          <w:szCs w:val="26"/>
          <w:lang w:val="en-GB"/>
        </w:rPr>
        <w:t xml:space="preserve">consequential </w:t>
      </w:r>
      <w:r w:rsidR="00290DB4" w:rsidRPr="00224AF3">
        <w:rPr>
          <w:rFonts w:ascii="Times New Roman" w:hAnsi="Times New Roman" w:cs="Helvetica"/>
          <w:sz w:val="24"/>
          <w:szCs w:val="26"/>
          <w:lang w:val="en-GB"/>
        </w:rPr>
        <w:t xml:space="preserve">failures </w:t>
      </w:r>
      <w:r w:rsidRPr="00224AF3">
        <w:rPr>
          <w:rFonts w:ascii="Times New Roman" w:hAnsi="Times New Roman" w:cs="Helvetica"/>
          <w:sz w:val="24"/>
          <w:szCs w:val="26"/>
          <w:lang w:val="en-GB"/>
        </w:rPr>
        <w:t xml:space="preserve">of the Lisbon Strategy, perhaps the most </w:t>
      </w:r>
      <w:r w:rsidR="00C741B9" w:rsidRPr="00224AF3">
        <w:rPr>
          <w:rFonts w:ascii="Times New Roman" w:hAnsi="Times New Roman" w:cs="Helvetica"/>
          <w:sz w:val="24"/>
          <w:szCs w:val="26"/>
          <w:lang w:val="en-GB"/>
        </w:rPr>
        <w:t xml:space="preserve">visible one refers to the fact that it </w:t>
      </w:r>
      <w:r w:rsidRPr="00224AF3">
        <w:rPr>
          <w:rFonts w:ascii="Times New Roman" w:hAnsi="Times New Roman" w:cs="Helvetica"/>
          <w:sz w:val="24"/>
          <w:szCs w:val="26"/>
          <w:lang w:val="en-GB"/>
        </w:rPr>
        <w:t xml:space="preserve">fell </w:t>
      </w:r>
      <w:r w:rsidR="00407C7F" w:rsidRPr="00224AF3">
        <w:rPr>
          <w:rFonts w:ascii="Times New Roman" w:hAnsi="Times New Roman" w:cs="Helvetica"/>
          <w:sz w:val="24"/>
          <w:szCs w:val="26"/>
          <w:lang w:val="en-GB"/>
        </w:rPr>
        <w:t>short</w:t>
      </w:r>
      <w:r w:rsidRPr="00224AF3">
        <w:rPr>
          <w:rFonts w:ascii="Times New Roman" w:hAnsi="Times New Roman" w:cs="Helvetica"/>
          <w:sz w:val="24"/>
          <w:szCs w:val="26"/>
          <w:lang w:val="en-GB"/>
        </w:rPr>
        <w:t xml:space="preserve"> in transforming the EU into “the most competitive </w:t>
      </w:r>
      <w:r w:rsidR="00666329" w:rsidRPr="00224AF3">
        <w:rPr>
          <w:rFonts w:ascii="Times New Roman" w:hAnsi="Times New Roman" w:cs="Helvetica"/>
          <w:sz w:val="24"/>
          <w:szCs w:val="26"/>
          <w:lang w:val="en-GB"/>
        </w:rPr>
        <w:t xml:space="preserve">economy </w:t>
      </w:r>
      <w:r w:rsidR="00B13614" w:rsidRPr="00224AF3">
        <w:rPr>
          <w:rFonts w:ascii="Times New Roman" w:hAnsi="Times New Roman" w:cs="Helvetica"/>
          <w:sz w:val="24"/>
          <w:szCs w:val="26"/>
          <w:lang w:val="en-GB"/>
        </w:rPr>
        <w:t xml:space="preserve">and knowledge-based economy </w:t>
      </w:r>
      <w:r w:rsidRPr="00224AF3">
        <w:rPr>
          <w:rFonts w:ascii="Times New Roman" w:hAnsi="Times New Roman" w:cs="Helvetica"/>
          <w:sz w:val="24"/>
          <w:szCs w:val="26"/>
          <w:lang w:val="en-GB"/>
        </w:rPr>
        <w:t>in the world”.</w:t>
      </w:r>
      <w:r w:rsidR="00C741B9" w:rsidRPr="00224AF3">
        <w:rPr>
          <w:rFonts w:ascii="Times New Roman" w:hAnsi="Times New Roman" w:cs="Helvetica"/>
          <w:sz w:val="24"/>
          <w:szCs w:val="26"/>
          <w:lang w:val="en-GB"/>
        </w:rPr>
        <w:t xml:space="preserve"> </w:t>
      </w:r>
      <w:r w:rsidR="00666329" w:rsidRPr="00224AF3">
        <w:rPr>
          <w:rFonts w:ascii="Times New Roman" w:hAnsi="Times New Roman" w:cs="Helvetica"/>
          <w:sz w:val="24"/>
          <w:szCs w:val="26"/>
          <w:lang w:val="en-GB"/>
        </w:rPr>
        <w:t xml:space="preserve">In the last decade, </w:t>
      </w:r>
      <w:r w:rsidR="00C741B9" w:rsidRPr="00224AF3">
        <w:rPr>
          <w:rFonts w:ascii="Times New Roman" w:hAnsi="Times New Roman" w:cs="Helvetica"/>
          <w:sz w:val="24"/>
          <w:szCs w:val="26"/>
          <w:lang w:val="en-GB"/>
        </w:rPr>
        <w:t xml:space="preserve">the Member States failed to </w:t>
      </w:r>
      <w:r w:rsidR="00D41886" w:rsidRPr="00224AF3">
        <w:rPr>
          <w:rFonts w:ascii="Times New Roman" w:hAnsi="Times New Roman" w:cs="Helvetica"/>
          <w:sz w:val="24"/>
          <w:szCs w:val="26"/>
          <w:lang w:val="en-GB"/>
        </w:rPr>
        <w:t>fulfil alm</w:t>
      </w:r>
      <w:r w:rsidR="0032507D" w:rsidRPr="00224AF3">
        <w:rPr>
          <w:rFonts w:ascii="Times New Roman" w:hAnsi="Times New Roman" w:cs="Helvetica"/>
          <w:sz w:val="24"/>
          <w:szCs w:val="26"/>
          <w:lang w:val="en-GB"/>
        </w:rPr>
        <w:t xml:space="preserve">ost all the official targets set </w:t>
      </w:r>
      <w:r w:rsidR="00D41886" w:rsidRPr="00224AF3">
        <w:rPr>
          <w:rFonts w:ascii="Times New Roman" w:hAnsi="Times New Roman" w:cs="Helvetica"/>
          <w:sz w:val="24"/>
          <w:szCs w:val="26"/>
          <w:lang w:val="en-GB"/>
        </w:rPr>
        <w:t>in 2000-2005, ensuing the EU’s continued</w:t>
      </w:r>
      <w:r w:rsidR="009F51EF" w:rsidRPr="00224AF3">
        <w:rPr>
          <w:rFonts w:ascii="Times New Roman" w:hAnsi="Times New Roman" w:cs="Helvetica"/>
          <w:sz w:val="24"/>
          <w:szCs w:val="26"/>
          <w:lang w:val="en-GB"/>
        </w:rPr>
        <w:t xml:space="preserve"> economic backwardness </w:t>
      </w:r>
      <w:r w:rsidR="00DB2A0F" w:rsidRPr="00224AF3">
        <w:rPr>
          <w:rFonts w:ascii="Times New Roman" w:hAnsi="Times New Roman" w:cs="Helvetica"/>
          <w:sz w:val="24"/>
          <w:szCs w:val="26"/>
          <w:lang w:val="en-GB"/>
        </w:rPr>
        <w:t>in relation to its main competitors</w:t>
      </w:r>
      <w:r w:rsidR="00666329" w:rsidRPr="00224AF3">
        <w:rPr>
          <w:rFonts w:ascii="Times New Roman" w:hAnsi="Times New Roman" w:cs="Helvetica"/>
          <w:sz w:val="24"/>
          <w:szCs w:val="26"/>
          <w:lang w:val="en-GB"/>
        </w:rPr>
        <w:t xml:space="preserve"> </w:t>
      </w:r>
      <w:r w:rsidR="009F51EF" w:rsidRPr="00224AF3">
        <w:rPr>
          <w:rFonts w:ascii="Times New Roman" w:hAnsi="Times New Roman" w:cs="Helvetica"/>
          <w:sz w:val="24"/>
          <w:szCs w:val="26"/>
          <w:lang w:val="en-GB"/>
        </w:rPr>
        <w:t>(Copeland 2012: 232).</w:t>
      </w:r>
      <w:r w:rsidR="0032507D" w:rsidRPr="00224AF3">
        <w:rPr>
          <w:rFonts w:ascii="Times New Roman" w:hAnsi="Times New Roman" w:cs="Helvetica"/>
          <w:sz w:val="24"/>
          <w:szCs w:val="26"/>
          <w:lang w:val="en-GB"/>
        </w:rPr>
        <w:t xml:space="preserve"> According to the World Economic Forum’s Lisbon Review 2010, the EU</w:t>
      </w:r>
      <w:r w:rsidR="00666329" w:rsidRPr="00224AF3">
        <w:rPr>
          <w:rFonts w:ascii="Times New Roman" w:hAnsi="Times New Roman" w:cs="Helvetica"/>
          <w:sz w:val="24"/>
          <w:szCs w:val="26"/>
          <w:lang w:val="en-GB"/>
        </w:rPr>
        <w:t>-</w:t>
      </w:r>
      <w:r w:rsidR="0032507D" w:rsidRPr="00224AF3">
        <w:rPr>
          <w:rFonts w:ascii="Times New Roman" w:hAnsi="Times New Roman" w:cs="Helvetica"/>
          <w:sz w:val="24"/>
          <w:szCs w:val="26"/>
          <w:lang w:val="en-GB"/>
        </w:rPr>
        <w:t xml:space="preserve">27 </w:t>
      </w:r>
      <w:r w:rsidR="00341A0B" w:rsidRPr="00224AF3">
        <w:rPr>
          <w:rFonts w:ascii="Times New Roman" w:hAnsi="Times New Roman" w:cs="Helvetica"/>
          <w:sz w:val="24"/>
          <w:szCs w:val="26"/>
          <w:lang w:val="en-GB"/>
        </w:rPr>
        <w:t>lagged</w:t>
      </w:r>
      <w:r w:rsidR="00B0386B" w:rsidRPr="00224AF3">
        <w:rPr>
          <w:rFonts w:ascii="Times New Roman" w:hAnsi="Times New Roman" w:cs="Helvetica"/>
          <w:sz w:val="24"/>
          <w:szCs w:val="26"/>
          <w:lang w:val="en-GB"/>
        </w:rPr>
        <w:t xml:space="preserve"> behind the US</w:t>
      </w:r>
      <w:r w:rsidR="00506F0A" w:rsidRPr="00224AF3">
        <w:rPr>
          <w:rFonts w:ascii="Times New Roman" w:hAnsi="Times New Roman" w:cs="Helvetica"/>
          <w:sz w:val="24"/>
          <w:szCs w:val="26"/>
          <w:lang w:val="en-GB"/>
        </w:rPr>
        <w:t xml:space="preserve"> </w:t>
      </w:r>
      <w:r w:rsidR="00D851EA" w:rsidRPr="00224AF3">
        <w:rPr>
          <w:rFonts w:ascii="Times New Roman" w:hAnsi="Times New Roman" w:cs="Helvetica"/>
          <w:sz w:val="24"/>
          <w:szCs w:val="26"/>
          <w:lang w:val="en-GB"/>
        </w:rPr>
        <w:t>as well as the</w:t>
      </w:r>
      <w:r w:rsidR="00341A0B" w:rsidRPr="00224AF3">
        <w:rPr>
          <w:rFonts w:ascii="Times New Roman" w:hAnsi="Times New Roman" w:cs="Helvetica"/>
          <w:sz w:val="24"/>
          <w:szCs w:val="26"/>
          <w:lang w:val="en-GB"/>
        </w:rPr>
        <w:t xml:space="preserve"> </w:t>
      </w:r>
      <w:r w:rsidR="00506F0A" w:rsidRPr="00224AF3">
        <w:rPr>
          <w:rFonts w:ascii="Times New Roman" w:hAnsi="Times New Roman" w:cs="Helvetica"/>
          <w:sz w:val="24"/>
          <w:szCs w:val="26"/>
          <w:lang w:val="en-GB"/>
        </w:rPr>
        <w:t xml:space="preserve">East Asian economic region </w:t>
      </w:r>
      <w:r w:rsidR="00805A9D" w:rsidRPr="00224AF3">
        <w:rPr>
          <w:rFonts w:ascii="Times New Roman" w:hAnsi="Times New Roman" w:cs="Helvetica"/>
          <w:sz w:val="24"/>
          <w:szCs w:val="26"/>
          <w:lang w:val="en-GB"/>
        </w:rPr>
        <w:t>i</w:t>
      </w:r>
      <w:r w:rsidR="00341A0B" w:rsidRPr="00224AF3">
        <w:rPr>
          <w:rFonts w:ascii="Times New Roman" w:hAnsi="Times New Roman" w:cs="Helvetica"/>
          <w:sz w:val="24"/>
          <w:szCs w:val="26"/>
          <w:lang w:val="en-GB"/>
        </w:rPr>
        <w:t>n seven out of eight competitiv</w:t>
      </w:r>
      <w:r w:rsidR="00D2443D" w:rsidRPr="00224AF3">
        <w:rPr>
          <w:rFonts w:ascii="Times New Roman" w:hAnsi="Times New Roman" w:cs="Helvetica"/>
          <w:sz w:val="24"/>
          <w:szCs w:val="26"/>
          <w:lang w:val="en-GB"/>
        </w:rPr>
        <w:t>e</w:t>
      </w:r>
      <w:r w:rsidR="00341A0B" w:rsidRPr="00224AF3">
        <w:rPr>
          <w:rFonts w:ascii="Times New Roman" w:hAnsi="Times New Roman" w:cs="Helvetica"/>
          <w:sz w:val="24"/>
          <w:szCs w:val="26"/>
          <w:lang w:val="en-GB"/>
        </w:rPr>
        <w:t>nes</w:t>
      </w:r>
      <w:r w:rsidR="00D2443D" w:rsidRPr="00224AF3">
        <w:rPr>
          <w:rFonts w:ascii="Times New Roman" w:hAnsi="Times New Roman" w:cs="Helvetica"/>
          <w:sz w:val="24"/>
          <w:szCs w:val="26"/>
          <w:lang w:val="en-GB"/>
        </w:rPr>
        <w:t>s</w:t>
      </w:r>
      <w:r w:rsidR="00805A9D" w:rsidRPr="00224AF3">
        <w:rPr>
          <w:rFonts w:ascii="Times New Roman" w:hAnsi="Times New Roman" w:cs="Helvetica"/>
          <w:sz w:val="24"/>
          <w:szCs w:val="26"/>
          <w:lang w:val="en-GB"/>
        </w:rPr>
        <w:t xml:space="preserve"> </w:t>
      </w:r>
      <w:r w:rsidR="00D2443D" w:rsidRPr="00224AF3">
        <w:rPr>
          <w:rFonts w:ascii="Times New Roman" w:hAnsi="Times New Roman" w:cs="Helvetica"/>
          <w:sz w:val="24"/>
          <w:szCs w:val="26"/>
          <w:lang w:val="en-GB"/>
        </w:rPr>
        <w:t xml:space="preserve">indicators </w:t>
      </w:r>
      <w:r w:rsidR="00805A9D" w:rsidRPr="00224AF3">
        <w:rPr>
          <w:rFonts w:ascii="Times New Roman" w:hAnsi="Times New Roman" w:cs="Helvetica"/>
          <w:sz w:val="24"/>
          <w:szCs w:val="26"/>
          <w:lang w:val="en-GB"/>
        </w:rPr>
        <w:t xml:space="preserve">with </w:t>
      </w:r>
      <w:r w:rsidR="00E24129" w:rsidRPr="00224AF3">
        <w:rPr>
          <w:rFonts w:ascii="Times New Roman" w:hAnsi="Times New Roman" w:cs="Helvetica"/>
          <w:sz w:val="24"/>
          <w:szCs w:val="26"/>
          <w:lang w:val="en-GB"/>
        </w:rPr>
        <w:t xml:space="preserve">only </w:t>
      </w:r>
      <w:r w:rsidR="00805A9D" w:rsidRPr="00224AF3">
        <w:rPr>
          <w:rFonts w:ascii="Times New Roman" w:hAnsi="Times New Roman" w:cs="Helvetica"/>
          <w:sz w:val="24"/>
          <w:szCs w:val="26"/>
          <w:lang w:val="en-GB"/>
        </w:rPr>
        <w:t>sustainable d</w:t>
      </w:r>
      <w:r w:rsidR="00D2443D" w:rsidRPr="00224AF3">
        <w:rPr>
          <w:rFonts w:ascii="Times New Roman" w:hAnsi="Times New Roman" w:cs="Helvetica"/>
          <w:sz w:val="24"/>
          <w:szCs w:val="26"/>
          <w:lang w:val="en-GB"/>
        </w:rPr>
        <w:t>evelopment being the exception (World Economic Forum 2010</w:t>
      </w:r>
      <w:r w:rsidR="00B0386B" w:rsidRPr="00224AF3">
        <w:rPr>
          <w:rFonts w:ascii="Times New Roman" w:hAnsi="Times New Roman" w:cs="Helvetica"/>
          <w:sz w:val="24"/>
          <w:szCs w:val="26"/>
          <w:lang w:val="en-GB"/>
        </w:rPr>
        <w:t xml:space="preserve">: </w:t>
      </w:r>
      <w:r w:rsidR="00675318" w:rsidRPr="00224AF3">
        <w:rPr>
          <w:rFonts w:ascii="Times New Roman" w:hAnsi="Times New Roman" w:cs="Helvetica"/>
          <w:sz w:val="24"/>
          <w:szCs w:val="26"/>
          <w:lang w:val="en-GB"/>
        </w:rPr>
        <w:t>11</w:t>
      </w:r>
      <w:r w:rsidR="00D2443D" w:rsidRPr="00224AF3">
        <w:rPr>
          <w:rFonts w:ascii="Times New Roman" w:hAnsi="Times New Roman" w:cs="Helvetica"/>
          <w:sz w:val="24"/>
          <w:szCs w:val="26"/>
          <w:lang w:val="en-GB"/>
        </w:rPr>
        <w:t xml:space="preserve">). </w:t>
      </w:r>
      <w:r w:rsidR="00B13614" w:rsidRPr="00224AF3">
        <w:rPr>
          <w:rFonts w:ascii="Times New Roman" w:hAnsi="Times New Roman" w:cs="Helvetica"/>
          <w:sz w:val="24"/>
          <w:szCs w:val="26"/>
          <w:lang w:val="en-GB"/>
        </w:rPr>
        <w:t>However,</w:t>
      </w:r>
      <w:r w:rsidR="009B0C7F" w:rsidRPr="00224AF3">
        <w:rPr>
          <w:rFonts w:ascii="Times New Roman" w:hAnsi="Times New Roman" w:cs="Helvetica"/>
          <w:sz w:val="24"/>
          <w:szCs w:val="26"/>
          <w:lang w:val="en-GB"/>
        </w:rPr>
        <w:t xml:space="preserve"> i</w:t>
      </w:r>
      <w:r w:rsidR="009858E1" w:rsidRPr="00224AF3">
        <w:rPr>
          <w:rFonts w:ascii="Times New Roman" w:hAnsi="Times New Roman" w:cs="Helvetica"/>
          <w:sz w:val="24"/>
          <w:szCs w:val="26"/>
          <w:lang w:val="en-GB"/>
        </w:rPr>
        <w:t>t is important to ascertain a considerable variation</w:t>
      </w:r>
      <w:r w:rsidR="00E225F3" w:rsidRPr="00224AF3">
        <w:rPr>
          <w:rFonts w:ascii="Times New Roman" w:hAnsi="Times New Roman" w:cs="Helvetica"/>
          <w:sz w:val="24"/>
          <w:szCs w:val="26"/>
          <w:lang w:val="en-GB"/>
        </w:rPr>
        <w:t xml:space="preserve"> and disparity</w:t>
      </w:r>
      <w:r w:rsidR="000010C7" w:rsidRPr="00224AF3">
        <w:rPr>
          <w:rFonts w:ascii="Times New Roman" w:hAnsi="Times New Roman" w:cs="Helvetica"/>
          <w:sz w:val="24"/>
          <w:szCs w:val="26"/>
          <w:lang w:val="en-GB"/>
        </w:rPr>
        <w:t xml:space="preserve"> in </w:t>
      </w:r>
      <w:r w:rsidR="009858E1" w:rsidRPr="00224AF3">
        <w:rPr>
          <w:rFonts w:ascii="Times New Roman" w:hAnsi="Times New Roman" w:cs="Helvetica"/>
          <w:sz w:val="24"/>
          <w:szCs w:val="26"/>
          <w:lang w:val="en-GB"/>
        </w:rPr>
        <w:t xml:space="preserve">performance across Member States, with some countries </w:t>
      </w:r>
      <w:r w:rsidR="000010C7" w:rsidRPr="00224AF3">
        <w:rPr>
          <w:rFonts w:ascii="Times New Roman" w:hAnsi="Times New Roman" w:cs="Helvetica"/>
          <w:sz w:val="24"/>
          <w:szCs w:val="26"/>
          <w:lang w:val="en-GB"/>
        </w:rPr>
        <w:t xml:space="preserve">performing very well and others </w:t>
      </w:r>
      <w:r w:rsidR="009858E1" w:rsidRPr="00224AF3">
        <w:rPr>
          <w:rFonts w:ascii="Times New Roman" w:hAnsi="Times New Roman" w:cs="Helvetica"/>
          <w:sz w:val="24"/>
          <w:szCs w:val="26"/>
          <w:lang w:val="en-GB"/>
        </w:rPr>
        <w:t xml:space="preserve">lagging behind. </w:t>
      </w:r>
      <w:r w:rsidR="00E225F3" w:rsidRPr="00224AF3">
        <w:rPr>
          <w:rFonts w:ascii="Times New Roman" w:hAnsi="Times New Roman" w:cs="Helvetica"/>
          <w:sz w:val="24"/>
          <w:szCs w:val="26"/>
          <w:lang w:val="en-GB"/>
        </w:rPr>
        <w:t xml:space="preserve">While </w:t>
      </w:r>
      <w:r w:rsidR="00F05AAD" w:rsidRPr="00224AF3">
        <w:rPr>
          <w:rFonts w:ascii="Times New Roman" w:hAnsi="Times New Roman" w:cs="Helvetica"/>
          <w:sz w:val="24"/>
          <w:szCs w:val="26"/>
          <w:lang w:val="en-GB"/>
        </w:rPr>
        <w:t xml:space="preserve">the </w:t>
      </w:r>
      <w:r w:rsidR="009004D1" w:rsidRPr="00224AF3">
        <w:rPr>
          <w:rFonts w:ascii="Times New Roman" w:hAnsi="Times New Roman" w:cs="Helvetica"/>
          <w:sz w:val="24"/>
          <w:szCs w:val="26"/>
          <w:lang w:val="en-GB"/>
        </w:rPr>
        <w:t>Nordic and</w:t>
      </w:r>
      <w:r w:rsidR="000010C7" w:rsidRPr="00224AF3">
        <w:rPr>
          <w:rFonts w:ascii="Times New Roman" w:hAnsi="Times New Roman" w:cs="Helvetica"/>
          <w:sz w:val="24"/>
          <w:szCs w:val="26"/>
          <w:lang w:val="en-GB"/>
        </w:rPr>
        <w:t xml:space="preserve"> Western European countries have consistently tended</w:t>
      </w:r>
      <w:r w:rsidR="009004D1" w:rsidRPr="00224AF3">
        <w:rPr>
          <w:rFonts w:ascii="Times New Roman" w:hAnsi="Times New Roman" w:cs="Helvetica"/>
          <w:sz w:val="24"/>
          <w:szCs w:val="26"/>
          <w:lang w:val="en-GB"/>
        </w:rPr>
        <w:t xml:space="preserve"> to stay on par with its international competitors, </w:t>
      </w:r>
      <w:r w:rsidR="000010C7" w:rsidRPr="00224AF3">
        <w:rPr>
          <w:rFonts w:ascii="Times New Roman" w:hAnsi="Times New Roman" w:cs="Helvetica"/>
          <w:sz w:val="24"/>
          <w:szCs w:val="26"/>
          <w:lang w:val="en-GB"/>
        </w:rPr>
        <w:t>many</w:t>
      </w:r>
      <w:r w:rsidR="00A70E10" w:rsidRPr="00224AF3">
        <w:rPr>
          <w:rFonts w:ascii="Times New Roman" w:hAnsi="Times New Roman" w:cs="Helvetica"/>
          <w:sz w:val="24"/>
          <w:szCs w:val="26"/>
          <w:lang w:val="en-GB"/>
        </w:rPr>
        <w:t xml:space="preserve"> </w:t>
      </w:r>
      <w:r w:rsidR="00F729FE" w:rsidRPr="00224AF3">
        <w:rPr>
          <w:rFonts w:ascii="Times New Roman" w:hAnsi="Times New Roman" w:cs="Helvetica"/>
          <w:sz w:val="24"/>
          <w:szCs w:val="26"/>
          <w:lang w:val="en-GB"/>
        </w:rPr>
        <w:t xml:space="preserve">of </w:t>
      </w:r>
      <w:r w:rsidR="009004D1" w:rsidRPr="00224AF3">
        <w:rPr>
          <w:rFonts w:ascii="Times New Roman" w:hAnsi="Times New Roman" w:cs="Helvetica"/>
          <w:sz w:val="24"/>
          <w:szCs w:val="26"/>
          <w:lang w:val="en-GB"/>
        </w:rPr>
        <w:t xml:space="preserve">the </w:t>
      </w:r>
      <w:r w:rsidR="00F729FE" w:rsidRPr="00224AF3">
        <w:rPr>
          <w:rFonts w:ascii="Times New Roman" w:hAnsi="Times New Roman" w:cs="Helvetica"/>
          <w:sz w:val="24"/>
          <w:szCs w:val="26"/>
          <w:lang w:val="en-GB"/>
        </w:rPr>
        <w:t>post-2004 accession countries</w:t>
      </w:r>
      <w:r w:rsidR="00C0117D" w:rsidRPr="00224AF3">
        <w:rPr>
          <w:rFonts w:ascii="Times New Roman" w:hAnsi="Times New Roman" w:cs="Helvetica"/>
          <w:sz w:val="24"/>
          <w:szCs w:val="26"/>
          <w:lang w:val="en-GB"/>
        </w:rPr>
        <w:t xml:space="preserve"> </w:t>
      </w:r>
      <w:r w:rsidR="00D02CEA" w:rsidRPr="00224AF3">
        <w:rPr>
          <w:rFonts w:ascii="Times New Roman" w:hAnsi="Times New Roman" w:cs="Helvetica"/>
          <w:sz w:val="24"/>
          <w:szCs w:val="26"/>
          <w:lang w:val="en-GB"/>
        </w:rPr>
        <w:t xml:space="preserve">have </w:t>
      </w:r>
      <w:r w:rsidR="00F729FE" w:rsidRPr="00224AF3">
        <w:rPr>
          <w:rFonts w:ascii="Times New Roman" w:hAnsi="Times New Roman" w:cs="Helvetica"/>
          <w:sz w:val="24"/>
          <w:szCs w:val="26"/>
          <w:lang w:val="en-GB"/>
        </w:rPr>
        <w:t>demonstrate</w:t>
      </w:r>
      <w:r w:rsidR="000010C7" w:rsidRPr="00224AF3">
        <w:rPr>
          <w:rFonts w:ascii="Times New Roman" w:hAnsi="Times New Roman" w:cs="Helvetica"/>
          <w:sz w:val="24"/>
          <w:szCs w:val="26"/>
          <w:lang w:val="en-GB"/>
        </w:rPr>
        <w:t xml:space="preserve">d </w:t>
      </w:r>
      <w:r w:rsidR="00E9775E" w:rsidRPr="00224AF3">
        <w:rPr>
          <w:rFonts w:ascii="Times New Roman" w:hAnsi="Times New Roman" w:cs="Helvetica"/>
          <w:sz w:val="24"/>
          <w:szCs w:val="26"/>
          <w:lang w:val="en-GB"/>
        </w:rPr>
        <w:t xml:space="preserve">a high degree of </w:t>
      </w:r>
      <w:r w:rsidR="00805D1B" w:rsidRPr="00224AF3">
        <w:rPr>
          <w:rFonts w:ascii="Times New Roman" w:hAnsi="Times New Roman" w:cs="Helvetica"/>
          <w:sz w:val="24"/>
          <w:szCs w:val="26"/>
          <w:lang w:val="en-GB"/>
        </w:rPr>
        <w:t>economic backwardness.</w:t>
      </w:r>
      <w:r w:rsidR="00FA32DE" w:rsidRPr="00224AF3">
        <w:rPr>
          <w:rFonts w:ascii="Times New Roman" w:hAnsi="Times New Roman" w:cs="Helvetica"/>
          <w:sz w:val="24"/>
          <w:szCs w:val="26"/>
          <w:lang w:val="en-GB"/>
        </w:rPr>
        <w:t xml:space="preserve"> As such</w:t>
      </w:r>
      <w:r w:rsidR="00E9775E" w:rsidRPr="00224AF3">
        <w:rPr>
          <w:rFonts w:ascii="Times New Roman" w:hAnsi="Times New Roman" w:cs="Helvetica"/>
          <w:sz w:val="24"/>
          <w:szCs w:val="26"/>
          <w:lang w:val="en-GB"/>
        </w:rPr>
        <w:t>, some commentators maintain</w:t>
      </w:r>
      <w:r w:rsidR="00FA32DE" w:rsidRPr="00224AF3">
        <w:rPr>
          <w:rFonts w:ascii="Times New Roman" w:hAnsi="Times New Roman" w:cs="Helvetica"/>
          <w:sz w:val="24"/>
          <w:szCs w:val="26"/>
          <w:lang w:val="en-GB"/>
        </w:rPr>
        <w:t xml:space="preserve"> that the large-scale enlargement from 15 to 27 countries had a negative effect on the EU’s competitiveness, since the EU’s challenge became not only narrowing the developmental gap with the overseas, but also reducing the gap between the old and new members (Puślecki</w:t>
      </w:r>
      <w:r w:rsidR="005053EF" w:rsidRPr="00224AF3">
        <w:rPr>
          <w:rFonts w:ascii="Times New Roman" w:hAnsi="Times New Roman" w:cs="Helvetica"/>
          <w:sz w:val="24"/>
          <w:szCs w:val="26"/>
          <w:lang w:val="en-GB"/>
        </w:rPr>
        <w:t xml:space="preserve"> 2007: 5).</w:t>
      </w:r>
      <w:r w:rsidR="00E9775E" w:rsidRPr="00224AF3">
        <w:rPr>
          <w:rFonts w:ascii="Times New Roman" w:hAnsi="Times New Roman" w:cs="Helvetica"/>
          <w:sz w:val="24"/>
          <w:szCs w:val="26"/>
          <w:lang w:val="en-GB"/>
        </w:rPr>
        <w:t xml:space="preserve"> </w:t>
      </w:r>
      <w:r w:rsidR="00B0386B" w:rsidRPr="00224AF3">
        <w:rPr>
          <w:rFonts w:ascii="Times New Roman" w:hAnsi="Times New Roman" w:cs="Helvetica"/>
          <w:sz w:val="24"/>
          <w:szCs w:val="26"/>
          <w:lang w:val="en-GB"/>
        </w:rPr>
        <w:t>On the other hand, it should be noted that even the ‘old’ EU-15 have remained behind the US and East Asia</w:t>
      </w:r>
      <w:r w:rsidR="007E7C13" w:rsidRPr="00224AF3">
        <w:rPr>
          <w:rFonts w:ascii="Times New Roman" w:hAnsi="Times New Roman" w:cs="Helvetica"/>
          <w:sz w:val="24"/>
          <w:szCs w:val="26"/>
          <w:lang w:val="en-GB"/>
        </w:rPr>
        <w:t xml:space="preserve">, </w:t>
      </w:r>
      <w:r w:rsidR="00407C7F" w:rsidRPr="00224AF3">
        <w:rPr>
          <w:rFonts w:ascii="Times New Roman" w:hAnsi="Times New Roman" w:cs="Helvetica"/>
          <w:sz w:val="24"/>
          <w:szCs w:val="26"/>
          <w:lang w:val="en-GB"/>
        </w:rPr>
        <w:t xml:space="preserve">mainly due to </w:t>
      </w:r>
      <w:r w:rsidR="006D0747" w:rsidRPr="00224AF3">
        <w:rPr>
          <w:rFonts w:ascii="Times New Roman" w:hAnsi="Times New Roman" w:cs="Helvetica"/>
          <w:sz w:val="24"/>
          <w:szCs w:val="26"/>
          <w:lang w:val="en-GB"/>
        </w:rPr>
        <w:t>the poor performance of southern</w:t>
      </w:r>
      <w:r w:rsidR="00BF0C98" w:rsidRPr="00224AF3">
        <w:rPr>
          <w:rFonts w:ascii="Times New Roman" w:hAnsi="Times New Roman" w:cs="Helvetica"/>
          <w:sz w:val="24"/>
          <w:szCs w:val="26"/>
          <w:lang w:val="en-GB"/>
        </w:rPr>
        <w:t xml:space="preserve"> European countries, namely </w:t>
      </w:r>
      <w:r w:rsidR="006D0747" w:rsidRPr="00224AF3">
        <w:rPr>
          <w:rFonts w:ascii="Times New Roman" w:hAnsi="Times New Roman" w:cs="Helvetica"/>
          <w:sz w:val="24"/>
          <w:szCs w:val="26"/>
          <w:lang w:val="en-GB"/>
        </w:rPr>
        <w:t>Portugal, Spain, Greece and Italy.</w:t>
      </w:r>
      <w:r w:rsidR="007E7C13" w:rsidRPr="00224AF3">
        <w:rPr>
          <w:rFonts w:ascii="Times New Roman" w:hAnsi="Times New Roman" w:cs="Helvetica"/>
          <w:sz w:val="24"/>
          <w:szCs w:val="26"/>
          <w:lang w:val="en-GB"/>
        </w:rPr>
        <w:t xml:space="preserve"> </w:t>
      </w:r>
    </w:p>
    <w:p w:rsidR="0031017C" w:rsidRPr="00224AF3" w:rsidRDefault="00C3614B" w:rsidP="00224AF3">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At the same time</w:t>
      </w:r>
      <w:r w:rsidR="00490C08" w:rsidRPr="00224AF3">
        <w:rPr>
          <w:rFonts w:ascii="Times New Roman" w:hAnsi="Times New Roman" w:cs="Helvetica"/>
          <w:sz w:val="24"/>
          <w:szCs w:val="26"/>
          <w:lang w:val="en-GB"/>
        </w:rPr>
        <w:t>, the Lisbon Strategy</w:t>
      </w:r>
      <w:r w:rsidRPr="00224AF3">
        <w:rPr>
          <w:rFonts w:ascii="Times New Roman" w:hAnsi="Times New Roman" w:cs="Helvetica"/>
          <w:sz w:val="24"/>
          <w:szCs w:val="26"/>
          <w:lang w:val="en-GB"/>
        </w:rPr>
        <w:t xml:space="preserve"> </w:t>
      </w:r>
      <w:r w:rsidR="00490C08" w:rsidRPr="00224AF3">
        <w:rPr>
          <w:rFonts w:ascii="Times New Roman" w:hAnsi="Times New Roman" w:cs="Helvetica"/>
          <w:sz w:val="24"/>
          <w:szCs w:val="26"/>
          <w:lang w:val="en-GB"/>
        </w:rPr>
        <w:t>did not succeed in terms of increasing the performance of innovation</w:t>
      </w:r>
      <w:r w:rsidR="00E906A2" w:rsidRPr="00224AF3">
        <w:rPr>
          <w:rFonts w:ascii="Times New Roman" w:hAnsi="Times New Roman" w:cs="Helvetica"/>
          <w:sz w:val="24"/>
          <w:szCs w:val="26"/>
          <w:lang w:val="en-GB"/>
        </w:rPr>
        <w:t xml:space="preserve"> and research</w:t>
      </w:r>
      <w:r w:rsidR="001753E4" w:rsidRPr="00224AF3">
        <w:rPr>
          <w:rFonts w:ascii="Times New Roman" w:hAnsi="Times New Roman" w:cs="Helvetica"/>
          <w:sz w:val="24"/>
          <w:szCs w:val="26"/>
          <w:lang w:val="en-GB"/>
        </w:rPr>
        <w:t>.</w:t>
      </w:r>
      <w:r w:rsidR="006D0747" w:rsidRPr="00224AF3">
        <w:rPr>
          <w:rFonts w:ascii="Times New Roman" w:hAnsi="Times New Roman" w:cs="Helvetica"/>
          <w:sz w:val="24"/>
          <w:szCs w:val="26"/>
          <w:lang w:val="en-GB"/>
        </w:rPr>
        <w:t xml:space="preserve"> In fact</w:t>
      </w:r>
      <w:r w:rsidR="00675318" w:rsidRPr="00224AF3">
        <w:rPr>
          <w:rFonts w:ascii="Times New Roman" w:hAnsi="Times New Roman" w:cs="Helvetica"/>
          <w:sz w:val="24"/>
          <w:szCs w:val="26"/>
          <w:lang w:val="en-GB"/>
        </w:rPr>
        <w:t>, the Lisbon Review 2010 identified the biggest gap between the EU and its</w:t>
      </w:r>
      <w:r w:rsidR="00D27F29" w:rsidRPr="00224AF3">
        <w:rPr>
          <w:rFonts w:ascii="Times New Roman" w:hAnsi="Times New Roman" w:cs="Helvetica"/>
          <w:sz w:val="24"/>
          <w:szCs w:val="26"/>
          <w:lang w:val="en-GB"/>
        </w:rPr>
        <w:t xml:space="preserve"> competitors in this very area</w:t>
      </w:r>
      <w:r w:rsidR="00675318" w:rsidRPr="00224AF3">
        <w:rPr>
          <w:rFonts w:ascii="Times New Roman" w:hAnsi="Times New Roman" w:cs="Helvetica"/>
          <w:sz w:val="24"/>
          <w:szCs w:val="26"/>
          <w:lang w:val="en-GB"/>
        </w:rPr>
        <w:t xml:space="preserve"> (</w:t>
      </w:r>
      <w:r w:rsidR="00E03CB5" w:rsidRPr="00224AF3">
        <w:rPr>
          <w:rFonts w:ascii="Times New Roman" w:hAnsi="Times New Roman" w:cs="Helvetica"/>
          <w:sz w:val="24"/>
          <w:szCs w:val="26"/>
          <w:lang w:val="en-GB"/>
        </w:rPr>
        <w:t xml:space="preserve">World Economic Forum 2010: </w:t>
      </w:r>
      <w:r w:rsidR="001E0A9D" w:rsidRPr="00224AF3">
        <w:rPr>
          <w:rFonts w:ascii="Times New Roman" w:hAnsi="Times New Roman" w:cs="Helvetica"/>
          <w:sz w:val="24"/>
          <w:szCs w:val="26"/>
          <w:lang w:val="en-GB"/>
        </w:rPr>
        <w:t>11)!</w:t>
      </w:r>
      <w:r w:rsidR="00675318" w:rsidRPr="00224AF3">
        <w:rPr>
          <w:rFonts w:ascii="Times New Roman" w:hAnsi="Times New Roman" w:cs="Helvetica"/>
          <w:sz w:val="24"/>
          <w:szCs w:val="26"/>
          <w:lang w:val="en-GB"/>
        </w:rPr>
        <w:t xml:space="preserve"> </w:t>
      </w:r>
      <w:r w:rsidR="00E906A2" w:rsidRPr="00224AF3">
        <w:rPr>
          <w:rFonts w:ascii="Times New Roman" w:hAnsi="Times New Roman" w:cs="Helvetica"/>
          <w:sz w:val="24"/>
          <w:szCs w:val="26"/>
          <w:lang w:val="en-GB"/>
        </w:rPr>
        <w:t>With regards to innovation, t</w:t>
      </w:r>
      <w:r w:rsidR="00E5274F" w:rsidRPr="00224AF3">
        <w:rPr>
          <w:rFonts w:ascii="Times New Roman" w:hAnsi="Times New Roman" w:cs="Helvetica"/>
          <w:sz w:val="24"/>
          <w:szCs w:val="26"/>
          <w:lang w:val="en-GB"/>
        </w:rPr>
        <w:t>he Strategy</w:t>
      </w:r>
      <w:r w:rsidR="00B36345" w:rsidRPr="00224AF3">
        <w:rPr>
          <w:rFonts w:ascii="Times New Roman" w:hAnsi="Times New Roman" w:cs="Helvetica"/>
          <w:sz w:val="24"/>
          <w:szCs w:val="26"/>
          <w:lang w:val="en-GB"/>
        </w:rPr>
        <w:t xml:space="preserve"> implicitly assumed that combining national programmes for growth and jobs with the</w:t>
      </w:r>
      <w:r w:rsidR="00E34A13" w:rsidRPr="00224AF3">
        <w:rPr>
          <w:rFonts w:ascii="Times New Roman" w:hAnsi="Times New Roman" w:cs="Helvetica"/>
          <w:sz w:val="24"/>
          <w:szCs w:val="26"/>
          <w:lang w:val="en-GB"/>
        </w:rPr>
        <w:t xml:space="preserve"> OMC would</w:t>
      </w:r>
      <w:r w:rsidR="00E906A2" w:rsidRPr="00224AF3">
        <w:rPr>
          <w:rFonts w:ascii="Times New Roman" w:hAnsi="Times New Roman" w:cs="Helvetica"/>
          <w:sz w:val="24"/>
          <w:szCs w:val="26"/>
          <w:lang w:val="en-GB"/>
        </w:rPr>
        <w:t xml:space="preserve"> lead to a successful dynamism</w:t>
      </w:r>
      <w:r w:rsidR="00E06CE2" w:rsidRPr="00224AF3">
        <w:rPr>
          <w:rFonts w:ascii="Times New Roman" w:hAnsi="Times New Roman" w:cs="Helvetica"/>
          <w:sz w:val="24"/>
          <w:szCs w:val="26"/>
          <w:lang w:val="en-GB"/>
        </w:rPr>
        <w:t xml:space="preserve"> in the policy</w:t>
      </w:r>
      <w:r w:rsidR="00E34A13" w:rsidRPr="00224AF3">
        <w:rPr>
          <w:rFonts w:ascii="Times New Roman" w:hAnsi="Times New Roman" w:cs="Helvetica"/>
          <w:sz w:val="24"/>
          <w:szCs w:val="26"/>
          <w:lang w:val="en-GB"/>
        </w:rPr>
        <w:t>.</w:t>
      </w:r>
      <w:r w:rsidR="00E5274F" w:rsidRPr="00224AF3">
        <w:rPr>
          <w:rFonts w:ascii="Times New Roman" w:hAnsi="Times New Roman" w:cs="Helvetica"/>
          <w:sz w:val="24"/>
          <w:szCs w:val="26"/>
          <w:lang w:val="en-GB"/>
        </w:rPr>
        <w:t xml:space="preserve"> </w:t>
      </w:r>
      <w:r w:rsidR="005F3342" w:rsidRPr="00224AF3">
        <w:rPr>
          <w:rFonts w:ascii="Times New Roman" w:hAnsi="Times New Roman" w:cs="Helvetica"/>
          <w:sz w:val="24"/>
          <w:szCs w:val="26"/>
          <w:lang w:val="en-GB"/>
        </w:rPr>
        <w:t>As Edler (2012: 171-173) points out</w:t>
      </w:r>
      <w:r w:rsidR="00E906A2" w:rsidRPr="00224AF3">
        <w:rPr>
          <w:rFonts w:ascii="Times New Roman" w:hAnsi="Times New Roman" w:cs="Helvetica"/>
          <w:sz w:val="24"/>
          <w:szCs w:val="26"/>
          <w:lang w:val="en-GB"/>
        </w:rPr>
        <w:t xml:space="preserve">, the </w:t>
      </w:r>
      <w:r w:rsidR="006736D9" w:rsidRPr="00224AF3">
        <w:rPr>
          <w:rFonts w:ascii="Times New Roman" w:hAnsi="Times New Roman" w:cs="Helvetica"/>
          <w:sz w:val="24"/>
          <w:szCs w:val="26"/>
          <w:lang w:val="en-GB"/>
        </w:rPr>
        <w:t>mode of coordination</w:t>
      </w:r>
      <w:r w:rsidR="00E906A2" w:rsidRPr="00224AF3">
        <w:rPr>
          <w:rFonts w:ascii="Times New Roman" w:hAnsi="Times New Roman" w:cs="Helvetica"/>
          <w:sz w:val="24"/>
          <w:szCs w:val="26"/>
          <w:lang w:val="en-GB"/>
        </w:rPr>
        <w:t xml:space="preserve"> relied on a framework of common policy objectives</w:t>
      </w:r>
      <w:r w:rsidR="00A73CB2" w:rsidRPr="00224AF3">
        <w:rPr>
          <w:rFonts w:ascii="Times New Roman" w:hAnsi="Times New Roman" w:cs="Helvetica"/>
          <w:sz w:val="24"/>
          <w:szCs w:val="26"/>
          <w:lang w:val="en-GB"/>
        </w:rPr>
        <w:t xml:space="preserve"> and benchmarking activities</w:t>
      </w:r>
      <w:r w:rsidR="00E906A2" w:rsidRPr="00224AF3">
        <w:rPr>
          <w:rFonts w:ascii="Times New Roman" w:hAnsi="Times New Roman" w:cs="Helvetica"/>
          <w:sz w:val="24"/>
          <w:szCs w:val="26"/>
          <w:lang w:val="en-GB"/>
        </w:rPr>
        <w:t xml:space="preserve">, </w:t>
      </w:r>
      <w:r w:rsidR="00692EA6" w:rsidRPr="00224AF3">
        <w:rPr>
          <w:rFonts w:ascii="Times New Roman" w:hAnsi="Times New Roman" w:cs="Helvetica"/>
          <w:sz w:val="24"/>
          <w:szCs w:val="26"/>
          <w:lang w:val="en-GB"/>
        </w:rPr>
        <w:t>yet</w:t>
      </w:r>
      <w:r w:rsidR="006736D9" w:rsidRPr="00224AF3">
        <w:rPr>
          <w:rFonts w:ascii="Times New Roman" w:hAnsi="Times New Roman" w:cs="Helvetica"/>
          <w:sz w:val="24"/>
          <w:szCs w:val="26"/>
          <w:lang w:val="en-GB"/>
        </w:rPr>
        <w:t xml:space="preserve"> the Member States would </w:t>
      </w:r>
      <w:r w:rsidR="00692EA6" w:rsidRPr="00224AF3">
        <w:rPr>
          <w:rFonts w:ascii="Times New Roman" w:hAnsi="Times New Roman" w:cs="Helvetica"/>
          <w:sz w:val="24"/>
          <w:szCs w:val="26"/>
          <w:lang w:val="en-GB"/>
        </w:rPr>
        <w:t xml:space="preserve">still </w:t>
      </w:r>
      <w:r w:rsidR="006D2F5C" w:rsidRPr="00224AF3">
        <w:rPr>
          <w:rFonts w:ascii="Times New Roman" w:hAnsi="Times New Roman" w:cs="Helvetica"/>
          <w:sz w:val="24"/>
          <w:szCs w:val="26"/>
          <w:lang w:val="en-GB"/>
        </w:rPr>
        <w:t>build</w:t>
      </w:r>
      <w:r w:rsidR="006736D9" w:rsidRPr="00224AF3">
        <w:rPr>
          <w:rFonts w:ascii="Times New Roman" w:hAnsi="Times New Roman" w:cs="Helvetica"/>
          <w:sz w:val="24"/>
          <w:szCs w:val="26"/>
          <w:lang w:val="en-GB"/>
        </w:rPr>
        <w:t xml:space="preserve"> their </w:t>
      </w:r>
      <w:r w:rsidR="006736D9" w:rsidRPr="00224AF3">
        <w:rPr>
          <w:rFonts w:ascii="Times New Roman" w:hAnsi="Times New Roman" w:cs="Helvetica"/>
          <w:i/>
          <w:sz w:val="24"/>
          <w:szCs w:val="26"/>
          <w:lang w:val="en-GB"/>
        </w:rPr>
        <w:t xml:space="preserve">own </w:t>
      </w:r>
      <w:r w:rsidR="006736D9" w:rsidRPr="00224AF3">
        <w:rPr>
          <w:rFonts w:ascii="Times New Roman" w:hAnsi="Times New Roman" w:cs="Helvetica"/>
          <w:sz w:val="24"/>
          <w:szCs w:val="26"/>
          <w:lang w:val="en-GB"/>
        </w:rPr>
        <w:t>national innovation strategies and define</w:t>
      </w:r>
      <w:r w:rsidR="00E906A2" w:rsidRPr="00224AF3">
        <w:rPr>
          <w:rFonts w:ascii="Times New Roman" w:hAnsi="Times New Roman" w:cs="Helvetica"/>
          <w:sz w:val="24"/>
          <w:szCs w:val="26"/>
          <w:lang w:val="en-GB"/>
        </w:rPr>
        <w:t xml:space="preserve"> their </w:t>
      </w:r>
      <w:r w:rsidR="00E906A2" w:rsidRPr="00224AF3">
        <w:rPr>
          <w:rFonts w:ascii="Times New Roman" w:hAnsi="Times New Roman" w:cs="Helvetica"/>
          <w:i/>
          <w:sz w:val="24"/>
          <w:szCs w:val="26"/>
          <w:lang w:val="en-GB"/>
        </w:rPr>
        <w:t xml:space="preserve">own </w:t>
      </w:r>
      <w:r w:rsidR="00E906A2" w:rsidRPr="00224AF3">
        <w:rPr>
          <w:rFonts w:ascii="Times New Roman" w:hAnsi="Times New Roman" w:cs="Helvetica"/>
          <w:sz w:val="24"/>
          <w:szCs w:val="26"/>
          <w:lang w:val="en-GB"/>
        </w:rPr>
        <w:t>targets</w:t>
      </w:r>
      <w:r w:rsidR="00811FBB" w:rsidRPr="00224AF3">
        <w:rPr>
          <w:rFonts w:ascii="Times New Roman" w:hAnsi="Times New Roman" w:cs="Helvetica"/>
          <w:sz w:val="24"/>
          <w:szCs w:val="26"/>
          <w:lang w:val="en-GB"/>
        </w:rPr>
        <w:t>, rather than</w:t>
      </w:r>
      <w:r w:rsidR="006D2F5C" w:rsidRPr="00224AF3">
        <w:rPr>
          <w:rFonts w:ascii="Times New Roman" w:hAnsi="Times New Roman" w:cs="Helvetica"/>
          <w:sz w:val="24"/>
          <w:szCs w:val="26"/>
          <w:lang w:val="en-GB"/>
        </w:rPr>
        <w:t xml:space="preserve"> engage in producing </w:t>
      </w:r>
      <w:r w:rsidR="00811FBB" w:rsidRPr="00224AF3">
        <w:rPr>
          <w:rFonts w:ascii="Times New Roman" w:hAnsi="Times New Roman" w:cs="Helvetica"/>
          <w:sz w:val="24"/>
          <w:szCs w:val="26"/>
          <w:lang w:val="en-GB"/>
        </w:rPr>
        <w:t>a joint action</w:t>
      </w:r>
      <w:r w:rsidR="00F53E31" w:rsidRPr="00224AF3">
        <w:rPr>
          <w:rFonts w:ascii="Times New Roman" w:hAnsi="Times New Roman" w:cs="Helvetica"/>
          <w:sz w:val="24"/>
          <w:szCs w:val="26"/>
          <w:lang w:val="en-GB"/>
        </w:rPr>
        <w:t xml:space="preserve">. </w:t>
      </w:r>
      <w:r w:rsidR="006D2F5C" w:rsidRPr="00224AF3">
        <w:rPr>
          <w:rFonts w:ascii="Times New Roman" w:hAnsi="Times New Roman" w:cs="Helvetica"/>
          <w:sz w:val="24"/>
          <w:szCs w:val="26"/>
          <w:lang w:val="en-GB"/>
        </w:rPr>
        <w:t xml:space="preserve">Following the critical account of </w:t>
      </w:r>
      <w:r w:rsidR="00E571C5" w:rsidRPr="00224AF3">
        <w:rPr>
          <w:rFonts w:ascii="Times New Roman" w:hAnsi="Times New Roman" w:cs="Helvetica"/>
          <w:sz w:val="24"/>
          <w:szCs w:val="26"/>
          <w:lang w:val="en-GB"/>
        </w:rPr>
        <w:t>the Kok Report,</w:t>
      </w:r>
      <w:r w:rsidR="00E06CE2" w:rsidRPr="00224AF3">
        <w:rPr>
          <w:rFonts w:ascii="Times New Roman" w:hAnsi="Times New Roman" w:cs="Helvetica"/>
          <w:sz w:val="24"/>
          <w:szCs w:val="26"/>
          <w:lang w:val="en-GB"/>
        </w:rPr>
        <w:t xml:space="preserve"> </w:t>
      </w:r>
      <w:r w:rsidR="00A73CB2" w:rsidRPr="00224AF3">
        <w:rPr>
          <w:rFonts w:ascii="Times New Roman" w:hAnsi="Times New Roman" w:cs="Helvetica"/>
          <w:sz w:val="24"/>
          <w:szCs w:val="26"/>
          <w:lang w:val="en-GB"/>
        </w:rPr>
        <w:t>highlighting a</w:t>
      </w:r>
      <w:r w:rsidR="00E571C5" w:rsidRPr="00224AF3">
        <w:rPr>
          <w:rFonts w:ascii="Times New Roman" w:hAnsi="Times New Roman" w:cs="Helvetica"/>
          <w:sz w:val="24"/>
          <w:szCs w:val="26"/>
          <w:lang w:val="en-GB"/>
        </w:rPr>
        <w:t xml:space="preserve"> little progress </w:t>
      </w:r>
      <w:r w:rsidR="00E06CE2" w:rsidRPr="00224AF3">
        <w:rPr>
          <w:rFonts w:ascii="Times New Roman" w:hAnsi="Times New Roman" w:cs="Helvetica"/>
          <w:sz w:val="24"/>
          <w:szCs w:val="26"/>
          <w:lang w:val="en-GB"/>
        </w:rPr>
        <w:t>in the innovation policy</w:t>
      </w:r>
      <w:r w:rsidR="005149CA" w:rsidRPr="00224AF3">
        <w:rPr>
          <w:rFonts w:ascii="Times New Roman" w:hAnsi="Times New Roman" w:cs="Helvetica"/>
          <w:sz w:val="24"/>
          <w:szCs w:val="26"/>
          <w:lang w:val="en-GB"/>
        </w:rPr>
        <w:t xml:space="preserve">, the Commission </w:t>
      </w:r>
      <w:r w:rsidR="00E571C5" w:rsidRPr="00224AF3">
        <w:rPr>
          <w:rFonts w:ascii="Times New Roman" w:hAnsi="Times New Roman" w:cs="Helvetica"/>
          <w:sz w:val="24"/>
          <w:szCs w:val="26"/>
          <w:lang w:val="en-GB"/>
        </w:rPr>
        <w:t xml:space="preserve">shifted </w:t>
      </w:r>
      <w:r w:rsidR="00692EA6" w:rsidRPr="00224AF3">
        <w:rPr>
          <w:rFonts w:ascii="Times New Roman" w:hAnsi="Times New Roman" w:cs="Helvetica"/>
          <w:sz w:val="24"/>
          <w:szCs w:val="26"/>
          <w:lang w:val="en-GB"/>
        </w:rPr>
        <w:t>its approach</w:t>
      </w:r>
      <w:r w:rsidR="001E0A9D" w:rsidRPr="00224AF3">
        <w:rPr>
          <w:rFonts w:ascii="Times New Roman" w:hAnsi="Times New Roman" w:cs="Helvetica"/>
          <w:sz w:val="24"/>
          <w:szCs w:val="26"/>
          <w:lang w:val="en-GB"/>
        </w:rPr>
        <w:t xml:space="preserve"> and established new larger initiatives at the EU level</w:t>
      </w:r>
      <w:r w:rsidR="00692EA6" w:rsidRPr="00224AF3">
        <w:rPr>
          <w:rFonts w:ascii="Times New Roman" w:hAnsi="Times New Roman" w:cs="Helvetica"/>
          <w:sz w:val="24"/>
          <w:szCs w:val="26"/>
          <w:lang w:val="en-GB"/>
        </w:rPr>
        <w:t xml:space="preserve"> in order to bring the actors from Member States closer together.</w:t>
      </w:r>
      <w:r w:rsidR="008E6D35" w:rsidRPr="00224AF3">
        <w:rPr>
          <w:rFonts w:ascii="Times New Roman" w:hAnsi="Times New Roman" w:cs="Helvetica"/>
          <w:sz w:val="24"/>
          <w:szCs w:val="26"/>
          <w:lang w:val="en-GB"/>
        </w:rPr>
        <w:t xml:space="preserve"> </w:t>
      </w:r>
      <w:r w:rsidR="00345C9E" w:rsidRPr="00224AF3">
        <w:rPr>
          <w:rFonts w:ascii="Times New Roman" w:hAnsi="Times New Roman" w:cs="Helvetica"/>
          <w:sz w:val="24"/>
          <w:szCs w:val="26"/>
          <w:lang w:val="en-GB"/>
        </w:rPr>
        <w:t xml:space="preserve">In </w:t>
      </w:r>
      <w:r w:rsidR="004821D6" w:rsidRPr="00224AF3">
        <w:rPr>
          <w:rFonts w:ascii="Times New Roman" w:hAnsi="Times New Roman" w:cs="Helvetica"/>
          <w:sz w:val="24"/>
          <w:szCs w:val="26"/>
          <w:lang w:val="en-GB"/>
        </w:rPr>
        <w:t>particular</w:t>
      </w:r>
      <w:r w:rsidR="00345C9E" w:rsidRPr="00224AF3">
        <w:rPr>
          <w:rFonts w:ascii="Times New Roman" w:hAnsi="Times New Roman" w:cs="Helvetica"/>
          <w:sz w:val="24"/>
          <w:szCs w:val="26"/>
          <w:lang w:val="en-GB"/>
        </w:rPr>
        <w:t xml:space="preserve">, </w:t>
      </w:r>
      <w:r w:rsidR="00370974" w:rsidRPr="00224AF3">
        <w:rPr>
          <w:rFonts w:ascii="Times New Roman" w:hAnsi="Times New Roman" w:cs="Helvetica"/>
          <w:sz w:val="24"/>
          <w:szCs w:val="26"/>
          <w:lang w:val="en-GB"/>
        </w:rPr>
        <w:t xml:space="preserve">it demanded that </w:t>
      </w:r>
      <w:r w:rsidR="00CF4EE2" w:rsidRPr="00224AF3">
        <w:rPr>
          <w:rFonts w:ascii="Times New Roman" w:hAnsi="Times New Roman" w:cs="Helvetica"/>
          <w:sz w:val="24"/>
          <w:szCs w:val="26"/>
          <w:lang w:val="en-GB"/>
        </w:rPr>
        <w:t xml:space="preserve">the </w:t>
      </w:r>
      <w:r w:rsidR="00370974" w:rsidRPr="00224AF3">
        <w:rPr>
          <w:rFonts w:ascii="Times New Roman" w:hAnsi="Times New Roman" w:cs="Helvetica"/>
          <w:sz w:val="24"/>
          <w:szCs w:val="26"/>
          <w:lang w:val="en-GB"/>
        </w:rPr>
        <w:t xml:space="preserve">Member </w:t>
      </w:r>
      <w:r w:rsidR="00370974" w:rsidRPr="00224AF3">
        <w:rPr>
          <w:rFonts w:ascii="Times New Roman" w:hAnsi="Times New Roman" w:cs="Helvetica"/>
          <w:sz w:val="24"/>
          <w:szCs w:val="26"/>
          <w:lang w:val="en-GB"/>
        </w:rPr>
        <w:lastRenderedPageBreak/>
        <w:t xml:space="preserve">States embed Lisbon’s goals in their regional operational programmes and </w:t>
      </w:r>
      <w:r w:rsidR="00345C9E" w:rsidRPr="00224AF3">
        <w:rPr>
          <w:rFonts w:ascii="Times New Roman" w:hAnsi="Times New Roman" w:cs="Helvetica"/>
          <w:sz w:val="24"/>
          <w:szCs w:val="26"/>
          <w:lang w:val="en-GB"/>
        </w:rPr>
        <w:t xml:space="preserve">regularly provide </w:t>
      </w:r>
      <w:r w:rsidR="00370974" w:rsidRPr="00224AF3">
        <w:rPr>
          <w:rFonts w:ascii="Times New Roman" w:hAnsi="Times New Roman" w:cs="Helvetica"/>
          <w:sz w:val="24"/>
          <w:szCs w:val="26"/>
          <w:lang w:val="en-GB"/>
        </w:rPr>
        <w:t>accounts</w:t>
      </w:r>
      <w:r w:rsidR="000B425E" w:rsidRPr="00224AF3">
        <w:rPr>
          <w:rFonts w:ascii="Times New Roman" w:hAnsi="Times New Roman" w:cs="Helvetica"/>
          <w:sz w:val="24"/>
          <w:szCs w:val="26"/>
          <w:lang w:val="en-GB"/>
        </w:rPr>
        <w:t xml:space="preserve"> of progress in its governance. </w:t>
      </w:r>
      <w:r w:rsidR="00345C9E" w:rsidRPr="00224AF3">
        <w:rPr>
          <w:rFonts w:ascii="Times New Roman" w:hAnsi="Times New Roman" w:cs="Helvetica"/>
          <w:sz w:val="24"/>
          <w:szCs w:val="26"/>
          <w:lang w:val="en-GB"/>
        </w:rPr>
        <w:t>Furthermore, it consolidated and enlarged existing initiatives into the Competitiveness and Innovation Programme (CIP) in 2007, seeking to</w:t>
      </w:r>
      <w:r w:rsidR="00EE5074" w:rsidRPr="00224AF3">
        <w:rPr>
          <w:rFonts w:ascii="Times New Roman" w:hAnsi="Times New Roman" w:cs="Helvetica"/>
          <w:sz w:val="24"/>
          <w:szCs w:val="26"/>
          <w:lang w:val="en-GB"/>
        </w:rPr>
        <w:t xml:space="preserve"> </w:t>
      </w:r>
      <w:r w:rsidR="00A940B3" w:rsidRPr="00224AF3">
        <w:rPr>
          <w:rFonts w:ascii="Times New Roman" w:hAnsi="Times New Roman" w:cs="Helvetica"/>
          <w:sz w:val="24"/>
          <w:szCs w:val="26"/>
          <w:lang w:val="en-GB"/>
        </w:rPr>
        <w:t>aid innovation</w:t>
      </w:r>
      <w:r w:rsidR="00EE5074" w:rsidRPr="00224AF3">
        <w:rPr>
          <w:rFonts w:ascii="Times New Roman" w:hAnsi="Times New Roman" w:cs="Helvetica"/>
          <w:sz w:val="24"/>
          <w:szCs w:val="26"/>
          <w:lang w:val="en-GB"/>
        </w:rPr>
        <w:t xml:space="preserve"> </w:t>
      </w:r>
      <w:r w:rsidR="00A940B3" w:rsidRPr="00224AF3">
        <w:rPr>
          <w:rFonts w:ascii="Times New Roman" w:hAnsi="Times New Roman" w:cs="Helvetica"/>
          <w:sz w:val="24"/>
          <w:szCs w:val="26"/>
          <w:lang w:val="en-GB"/>
        </w:rPr>
        <w:t xml:space="preserve">activities of </w:t>
      </w:r>
      <w:r w:rsidR="00EE5074" w:rsidRPr="00224AF3">
        <w:rPr>
          <w:rFonts w:ascii="Times New Roman" w:hAnsi="Times New Roman" w:cs="Helvetica"/>
          <w:sz w:val="24"/>
          <w:szCs w:val="26"/>
          <w:lang w:val="en-GB"/>
        </w:rPr>
        <w:t>small and medium-sized enterprises</w:t>
      </w:r>
      <w:r w:rsidR="0031017C" w:rsidRPr="00224AF3">
        <w:rPr>
          <w:rFonts w:ascii="Times New Roman" w:hAnsi="Times New Roman" w:cs="Helvetica"/>
          <w:sz w:val="24"/>
          <w:szCs w:val="26"/>
          <w:lang w:val="en-GB"/>
        </w:rPr>
        <w:t xml:space="preserve"> (Edler 2012</w:t>
      </w:r>
      <w:r w:rsidR="005F3342" w:rsidRPr="00224AF3">
        <w:rPr>
          <w:rFonts w:ascii="Times New Roman" w:hAnsi="Times New Roman" w:cs="Helvetica"/>
          <w:sz w:val="24"/>
          <w:szCs w:val="26"/>
          <w:lang w:val="en-GB"/>
        </w:rPr>
        <w:t>).</w:t>
      </w:r>
    </w:p>
    <w:p w:rsidR="00691324" w:rsidRPr="00224AF3" w:rsidRDefault="0031017C" w:rsidP="00224AF3">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 xml:space="preserve">As for the area of research policy, the EU laid out </w:t>
      </w:r>
      <w:r w:rsidR="004714C0" w:rsidRPr="00224AF3">
        <w:rPr>
          <w:rFonts w:ascii="Times New Roman" w:hAnsi="Times New Roman" w:cs="Helvetica"/>
          <w:sz w:val="24"/>
          <w:szCs w:val="26"/>
          <w:lang w:val="en-GB"/>
        </w:rPr>
        <w:t xml:space="preserve">a </w:t>
      </w:r>
      <w:r w:rsidRPr="00224AF3">
        <w:rPr>
          <w:rFonts w:ascii="Times New Roman" w:hAnsi="Times New Roman" w:cs="Helvetica"/>
          <w:sz w:val="24"/>
          <w:szCs w:val="26"/>
          <w:lang w:val="en-GB"/>
        </w:rPr>
        <w:t xml:space="preserve">strong </w:t>
      </w:r>
      <w:r w:rsidR="00843F47" w:rsidRPr="00224AF3">
        <w:rPr>
          <w:rFonts w:ascii="Times New Roman" w:hAnsi="Times New Roman" w:cs="Helvetica"/>
          <w:sz w:val="24"/>
          <w:szCs w:val="26"/>
          <w:lang w:val="en-GB"/>
        </w:rPr>
        <w:t xml:space="preserve">integration </w:t>
      </w:r>
      <w:r w:rsidRPr="00224AF3">
        <w:rPr>
          <w:rFonts w:ascii="Times New Roman" w:hAnsi="Times New Roman" w:cs="Helvetica"/>
          <w:sz w:val="24"/>
          <w:szCs w:val="26"/>
          <w:lang w:val="en-GB"/>
        </w:rPr>
        <w:t>dynamics</w:t>
      </w:r>
      <w:r w:rsidR="00843F47" w:rsidRPr="00224AF3">
        <w:rPr>
          <w:rFonts w:ascii="Times New Roman" w:hAnsi="Times New Roman" w:cs="Helvetica"/>
          <w:sz w:val="24"/>
          <w:szCs w:val="26"/>
          <w:lang w:val="en-GB"/>
        </w:rPr>
        <w:t xml:space="preserve"> through </w:t>
      </w:r>
      <w:r w:rsidR="004714C0" w:rsidRPr="00224AF3">
        <w:rPr>
          <w:rFonts w:ascii="Times New Roman" w:hAnsi="Times New Roman" w:cs="Helvetica"/>
          <w:sz w:val="24"/>
          <w:szCs w:val="26"/>
          <w:lang w:val="en-GB"/>
        </w:rPr>
        <w:t>devising</w:t>
      </w:r>
      <w:r w:rsidR="00843F47" w:rsidRPr="00224AF3">
        <w:rPr>
          <w:rFonts w:ascii="Times New Roman" w:hAnsi="Times New Roman" w:cs="Helvetica"/>
          <w:sz w:val="24"/>
          <w:szCs w:val="26"/>
          <w:lang w:val="en-GB"/>
        </w:rPr>
        <w:t xml:space="preserve"> </w:t>
      </w:r>
      <w:r w:rsidR="004821D6" w:rsidRPr="00224AF3">
        <w:rPr>
          <w:rFonts w:ascii="Times New Roman" w:hAnsi="Times New Roman" w:cs="Helvetica"/>
          <w:sz w:val="24"/>
          <w:szCs w:val="26"/>
          <w:lang w:val="en-GB"/>
        </w:rPr>
        <w:t>the concept of European Research Area (ERA)</w:t>
      </w:r>
      <w:r w:rsidR="0025290B" w:rsidRPr="00224AF3">
        <w:rPr>
          <w:rFonts w:ascii="Times New Roman" w:hAnsi="Times New Roman" w:cs="Helvetica"/>
          <w:sz w:val="24"/>
          <w:szCs w:val="26"/>
          <w:lang w:val="en-GB"/>
        </w:rPr>
        <w:t xml:space="preserve"> already</w:t>
      </w:r>
      <w:r w:rsidR="004821D6" w:rsidRPr="00224AF3">
        <w:rPr>
          <w:rFonts w:ascii="Times New Roman" w:hAnsi="Times New Roman" w:cs="Helvetica"/>
          <w:sz w:val="24"/>
          <w:szCs w:val="26"/>
          <w:lang w:val="en-GB"/>
        </w:rPr>
        <w:t xml:space="preserve"> in 2000. In essence, the main rationale of ERA approach was to fundamentally shift the scattered l</w:t>
      </w:r>
      <w:r w:rsidR="00B615E6" w:rsidRPr="00224AF3">
        <w:rPr>
          <w:rFonts w:ascii="Times New Roman" w:hAnsi="Times New Roman" w:cs="Helvetica"/>
          <w:sz w:val="24"/>
          <w:szCs w:val="26"/>
          <w:lang w:val="en-GB"/>
        </w:rPr>
        <w:t xml:space="preserve">andscape of research that existed in Europe prior to the launch of the Lisbon Strategy. </w:t>
      </w:r>
      <w:r w:rsidR="004714C0" w:rsidRPr="00224AF3">
        <w:rPr>
          <w:rFonts w:ascii="Times New Roman" w:hAnsi="Times New Roman" w:cs="Helvetica"/>
          <w:sz w:val="24"/>
          <w:szCs w:val="26"/>
          <w:lang w:val="en-GB"/>
        </w:rPr>
        <w:t>In other words</w:t>
      </w:r>
      <w:r w:rsidR="00583F2D" w:rsidRPr="00224AF3">
        <w:rPr>
          <w:rFonts w:ascii="Times New Roman" w:hAnsi="Times New Roman" w:cs="Helvetica"/>
          <w:sz w:val="24"/>
          <w:szCs w:val="26"/>
          <w:lang w:val="en-GB"/>
        </w:rPr>
        <w:t>, the ERA aimed at developing a holistic framework of shared governance, which would promote a tighter co</w:t>
      </w:r>
      <w:r w:rsidR="00EA3BC1" w:rsidRPr="00224AF3">
        <w:rPr>
          <w:rFonts w:ascii="Times New Roman" w:hAnsi="Times New Roman" w:cs="Helvetica"/>
          <w:sz w:val="24"/>
          <w:szCs w:val="26"/>
          <w:lang w:val="en-GB"/>
        </w:rPr>
        <w:t>-</w:t>
      </w:r>
      <w:r w:rsidR="00583F2D" w:rsidRPr="00224AF3">
        <w:rPr>
          <w:rFonts w:ascii="Times New Roman" w:hAnsi="Times New Roman" w:cs="Helvetica"/>
          <w:sz w:val="24"/>
          <w:szCs w:val="26"/>
          <w:lang w:val="en-GB"/>
        </w:rPr>
        <w:t>o</w:t>
      </w:r>
      <w:r w:rsidR="00EA3BC1" w:rsidRPr="00224AF3">
        <w:rPr>
          <w:rFonts w:ascii="Times New Roman" w:hAnsi="Times New Roman" w:cs="Helvetica"/>
          <w:sz w:val="24"/>
          <w:szCs w:val="26"/>
          <w:lang w:val="en-GB"/>
        </w:rPr>
        <w:t>rdination</w:t>
      </w:r>
      <w:r w:rsidR="00583F2D" w:rsidRPr="00224AF3">
        <w:rPr>
          <w:rFonts w:ascii="Times New Roman" w:hAnsi="Times New Roman" w:cs="Helvetica"/>
          <w:sz w:val="24"/>
          <w:szCs w:val="26"/>
          <w:lang w:val="en-GB"/>
        </w:rPr>
        <w:t xml:space="preserve"> </w:t>
      </w:r>
      <w:r w:rsidR="00EA3BC1" w:rsidRPr="00224AF3">
        <w:rPr>
          <w:rFonts w:ascii="Times New Roman" w:hAnsi="Times New Roman" w:cs="Helvetica"/>
          <w:sz w:val="24"/>
          <w:szCs w:val="26"/>
          <w:lang w:val="en-GB"/>
        </w:rPr>
        <w:t xml:space="preserve">among national research policies. </w:t>
      </w:r>
      <w:r w:rsidR="0025290B" w:rsidRPr="00224AF3">
        <w:rPr>
          <w:rFonts w:ascii="Times New Roman" w:hAnsi="Times New Roman" w:cs="Helvetica"/>
          <w:sz w:val="24"/>
          <w:szCs w:val="26"/>
          <w:lang w:val="en-GB"/>
        </w:rPr>
        <w:t>To commit national policies to EU goal</w:t>
      </w:r>
      <w:r w:rsidR="009779BD" w:rsidRPr="00224AF3">
        <w:rPr>
          <w:rFonts w:ascii="Times New Roman" w:hAnsi="Times New Roman" w:cs="Helvetica"/>
          <w:sz w:val="24"/>
          <w:szCs w:val="26"/>
          <w:lang w:val="en-GB"/>
        </w:rPr>
        <w:t>s</w:t>
      </w:r>
      <w:r w:rsidR="004714C0" w:rsidRPr="00224AF3">
        <w:rPr>
          <w:rFonts w:ascii="Times New Roman" w:hAnsi="Times New Roman" w:cs="Helvetica"/>
          <w:sz w:val="24"/>
          <w:szCs w:val="26"/>
          <w:lang w:val="en-GB"/>
        </w:rPr>
        <w:t xml:space="preserve">, the concept set out a range of common indicators, most notably the </w:t>
      </w:r>
      <w:r w:rsidR="0025290B" w:rsidRPr="00224AF3">
        <w:rPr>
          <w:rFonts w:ascii="Times New Roman" w:hAnsi="Times New Roman" w:cs="Helvetica"/>
          <w:sz w:val="24"/>
          <w:szCs w:val="26"/>
          <w:lang w:val="en-GB"/>
        </w:rPr>
        <w:t xml:space="preserve">ambitious </w:t>
      </w:r>
      <w:r w:rsidR="00DA3B05" w:rsidRPr="00224AF3">
        <w:rPr>
          <w:rFonts w:ascii="Times New Roman" w:hAnsi="Times New Roman" w:cs="Helvetica"/>
          <w:sz w:val="24"/>
          <w:szCs w:val="26"/>
          <w:lang w:val="en-GB"/>
        </w:rPr>
        <w:t>goal of spending at least 3 per cent of GDP on research and dev</w:t>
      </w:r>
      <w:r w:rsidR="007D2C49" w:rsidRPr="00224AF3">
        <w:rPr>
          <w:rFonts w:ascii="Times New Roman" w:hAnsi="Times New Roman" w:cs="Helvetica"/>
          <w:sz w:val="24"/>
          <w:szCs w:val="26"/>
          <w:lang w:val="en-GB"/>
        </w:rPr>
        <w:t xml:space="preserve">elopment (R&amp;D) by the end 2010 (Edler 2012). </w:t>
      </w:r>
      <w:r w:rsidR="00691324" w:rsidRPr="00224AF3">
        <w:rPr>
          <w:rFonts w:ascii="Times New Roman" w:hAnsi="Times New Roman" w:cs="Helvetica"/>
          <w:sz w:val="24"/>
          <w:szCs w:val="26"/>
          <w:lang w:val="en-GB"/>
        </w:rPr>
        <w:t>In contrast to policy-makers in the innovation area, policy-makers in the research area</w:t>
      </w:r>
      <w:r w:rsidR="00BB44C5" w:rsidRPr="00224AF3">
        <w:rPr>
          <w:rFonts w:ascii="Times New Roman" w:hAnsi="Times New Roman" w:cs="Helvetica"/>
          <w:sz w:val="24"/>
          <w:szCs w:val="26"/>
          <w:lang w:val="en-GB"/>
        </w:rPr>
        <w:t xml:space="preserve"> also</w:t>
      </w:r>
      <w:r w:rsidR="00691324" w:rsidRPr="00224AF3">
        <w:rPr>
          <w:rFonts w:ascii="Times New Roman" w:hAnsi="Times New Roman" w:cs="Helvetica"/>
          <w:sz w:val="24"/>
          <w:szCs w:val="26"/>
          <w:lang w:val="en-GB"/>
        </w:rPr>
        <w:t xml:space="preserve"> managed to establish </w:t>
      </w:r>
      <w:r w:rsidR="0053509C" w:rsidRPr="00224AF3">
        <w:rPr>
          <w:rFonts w:ascii="Times New Roman" w:hAnsi="Times New Roman" w:cs="Helvetica"/>
          <w:sz w:val="24"/>
          <w:szCs w:val="26"/>
          <w:lang w:val="en-GB"/>
        </w:rPr>
        <w:t xml:space="preserve">five high-level expert groups with </w:t>
      </w:r>
      <w:r w:rsidR="00691324" w:rsidRPr="00224AF3">
        <w:rPr>
          <w:rFonts w:ascii="Times New Roman" w:hAnsi="Times New Roman" w:cs="Helvetica"/>
          <w:sz w:val="24"/>
          <w:szCs w:val="26"/>
          <w:lang w:val="en-GB"/>
        </w:rPr>
        <w:t xml:space="preserve">the aim of exchanging ideas </w:t>
      </w:r>
      <w:r w:rsidR="0053509C" w:rsidRPr="00224AF3">
        <w:rPr>
          <w:rFonts w:ascii="Times New Roman" w:hAnsi="Times New Roman" w:cs="Helvetica"/>
          <w:sz w:val="24"/>
          <w:szCs w:val="26"/>
          <w:lang w:val="en-GB"/>
        </w:rPr>
        <w:t xml:space="preserve">about </w:t>
      </w:r>
      <w:r w:rsidR="00691324" w:rsidRPr="00224AF3">
        <w:rPr>
          <w:rFonts w:ascii="Times New Roman" w:hAnsi="Times New Roman" w:cs="Helvetica"/>
          <w:sz w:val="24"/>
          <w:szCs w:val="26"/>
          <w:lang w:val="en-GB"/>
        </w:rPr>
        <w:t xml:space="preserve">national practices and </w:t>
      </w:r>
      <w:r w:rsidR="000202B2" w:rsidRPr="00224AF3">
        <w:rPr>
          <w:rFonts w:ascii="Times New Roman" w:hAnsi="Times New Roman" w:cs="Helvetica"/>
          <w:sz w:val="24"/>
          <w:szCs w:val="26"/>
          <w:lang w:val="en-GB"/>
        </w:rPr>
        <w:t>c</w:t>
      </w:r>
      <w:r w:rsidR="007D2C49" w:rsidRPr="00224AF3">
        <w:rPr>
          <w:rFonts w:ascii="Times New Roman" w:hAnsi="Times New Roman" w:cs="Helvetica"/>
          <w:sz w:val="24"/>
          <w:szCs w:val="26"/>
          <w:lang w:val="en-GB"/>
        </w:rPr>
        <w:t>o-developing indicator systems (</w:t>
      </w:r>
      <w:r w:rsidR="000202B2" w:rsidRPr="00224AF3">
        <w:rPr>
          <w:rFonts w:ascii="Times New Roman" w:hAnsi="Times New Roman" w:cs="Helvetica"/>
          <w:sz w:val="24"/>
          <w:szCs w:val="26"/>
          <w:lang w:val="en-GB"/>
        </w:rPr>
        <w:t>Caracostas 2003:</w:t>
      </w:r>
      <w:r w:rsidR="007D2C49" w:rsidRPr="00224AF3">
        <w:rPr>
          <w:rFonts w:ascii="Times New Roman" w:hAnsi="Times New Roman" w:cs="Helvetica"/>
          <w:sz w:val="24"/>
          <w:szCs w:val="26"/>
          <w:lang w:val="en-GB"/>
        </w:rPr>
        <w:t xml:space="preserve"> 52).</w:t>
      </w:r>
      <w:r w:rsidR="00E03CB5" w:rsidRPr="00224AF3">
        <w:rPr>
          <w:rFonts w:ascii="Times New Roman" w:hAnsi="Times New Roman" w:cs="Helvetica"/>
          <w:sz w:val="24"/>
          <w:szCs w:val="26"/>
          <w:lang w:val="en-GB"/>
        </w:rPr>
        <w:t xml:space="preserve"> To further broaden the co-ordination arena</w:t>
      </w:r>
      <w:r w:rsidR="008F2ED0" w:rsidRPr="00224AF3">
        <w:rPr>
          <w:rFonts w:ascii="Times New Roman" w:hAnsi="Times New Roman" w:cs="Helvetica"/>
          <w:sz w:val="24"/>
          <w:szCs w:val="26"/>
          <w:lang w:val="en-GB"/>
        </w:rPr>
        <w:t>, t</w:t>
      </w:r>
      <w:r w:rsidR="004C72B8" w:rsidRPr="00224AF3">
        <w:rPr>
          <w:rFonts w:ascii="Times New Roman" w:hAnsi="Times New Roman" w:cs="Helvetica"/>
          <w:sz w:val="24"/>
          <w:szCs w:val="26"/>
          <w:lang w:val="en-GB"/>
        </w:rPr>
        <w:t xml:space="preserve">he </w:t>
      </w:r>
      <w:r w:rsidR="008F2ED0" w:rsidRPr="00224AF3">
        <w:rPr>
          <w:rFonts w:ascii="Times New Roman" w:hAnsi="Times New Roman" w:cs="Helvetica"/>
          <w:sz w:val="24"/>
          <w:szCs w:val="26"/>
          <w:lang w:val="en-GB"/>
        </w:rPr>
        <w:t xml:space="preserve">Commission introduced </w:t>
      </w:r>
      <w:r w:rsidR="004C72B8" w:rsidRPr="00224AF3">
        <w:rPr>
          <w:rFonts w:ascii="Times New Roman" w:hAnsi="Times New Roman" w:cs="Helvetica"/>
          <w:sz w:val="24"/>
          <w:szCs w:val="26"/>
          <w:lang w:val="en-GB"/>
        </w:rPr>
        <w:t xml:space="preserve">networking of </w:t>
      </w:r>
      <w:r w:rsidR="008F2ED0" w:rsidRPr="00224AF3">
        <w:rPr>
          <w:rFonts w:ascii="Times New Roman" w:hAnsi="Times New Roman" w:cs="Helvetica"/>
          <w:sz w:val="24"/>
          <w:szCs w:val="26"/>
          <w:lang w:val="en-GB"/>
        </w:rPr>
        <w:t>national funding programmes and initiated the so-c</w:t>
      </w:r>
      <w:r w:rsidR="008C463F" w:rsidRPr="00224AF3">
        <w:rPr>
          <w:rFonts w:ascii="Times New Roman" w:hAnsi="Times New Roman" w:cs="Helvetica"/>
          <w:sz w:val="24"/>
          <w:szCs w:val="26"/>
          <w:lang w:val="en-GB"/>
        </w:rPr>
        <w:t xml:space="preserve">alled ‘technology platforms’. </w:t>
      </w:r>
      <w:r w:rsidR="00C20406" w:rsidRPr="00224AF3">
        <w:rPr>
          <w:rFonts w:ascii="Times New Roman" w:hAnsi="Times New Roman" w:cs="Helvetica"/>
          <w:sz w:val="24"/>
          <w:szCs w:val="26"/>
          <w:lang w:val="en-GB"/>
        </w:rPr>
        <w:t xml:space="preserve">All in all, the OMC </w:t>
      </w:r>
      <w:r w:rsidR="009779BD" w:rsidRPr="00224AF3">
        <w:rPr>
          <w:rFonts w:ascii="Times New Roman" w:hAnsi="Times New Roman" w:cs="Helvetica"/>
          <w:sz w:val="24"/>
          <w:szCs w:val="26"/>
          <w:lang w:val="en-GB"/>
        </w:rPr>
        <w:t>succeeded in promoting</w:t>
      </w:r>
      <w:r w:rsidR="006C6740" w:rsidRPr="00224AF3">
        <w:rPr>
          <w:rFonts w:ascii="Times New Roman" w:hAnsi="Times New Roman" w:cs="Helvetica"/>
          <w:sz w:val="24"/>
          <w:szCs w:val="26"/>
          <w:lang w:val="en-GB"/>
        </w:rPr>
        <w:t xml:space="preserve"> </w:t>
      </w:r>
      <w:r w:rsidR="00C20406" w:rsidRPr="00224AF3">
        <w:rPr>
          <w:rFonts w:ascii="Times New Roman" w:hAnsi="Times New Roman" w:cs="Helvetica"/>
          <w:sz w:val="24"/>
          <w:szCs w:val="26"/>
          <w:lang w:val="en-GB"/>
        </w:rPr>
        <w:t>a neo-functional governance dynamics, whereby not only the administrative, but also societal elites (scientists, industry representatives, and funding managers) started to engage on a trans-national level (Edler 2012).</w:t>
      </w:r>
    </w:p>
    <w:p w:rsidR="00697A8B" w:rsidRPr="00224AF3" w:rsidRDefault="009779BD" w:rsidP="00224AF3">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However, d</w:t>
      </w:r>
      <w:r w:rsidR="00691324" w:rsidRPr="00224AF3">
        <w:rPr>
          <w:rFonts w:ascii="Times New Roman" w:hAnsi="Times New Roman" w:cs="Helvetica"/>
          <w:sz w:val="24"/>
          <w:szCs w:val="26"/>
          <w:lang w:val="en-GB"/>
        </w:rPr>
        <w:t xml:space="preserve">espite some structural progress </w:t>
      </w:r>
      <w:r w:rsidR="00BB44C5" w:rsidRPr="00224AF3">
        <w:rPr>
          <w:rFonts w:ascii="Times New Roman" w:hAnsi="Times New Roman" w:cs="Helvetica"/>
          <w:sz w:val="24"/>
          <w:szCs w:val="26"/>
          <w:lang w:val="en-GB"/>
        </w:rPr>
        <w:t xml:space="preserve">in </w:t>
      </w:r>
      <w:r w:rsidR="00E03CB5" w:rsidRPr="00224AF3">
        <w:rPr>
          <w:rFonts w:ascii="Times New Roman" w:hAnsi="Times New Roman" w:cs="Helvetica"/>
          <w:sz w:val="24"/>
          <w:szCs w:val="26"/>
          <w:lang w:val="en-GB"/>
        </w:rPr>
        <w:t>research</w:t>
      </w:r>
      <w:r w:rsidR="009A679E" w:rsidRPr="00224AF3">
        <w:rPr>
          <w:rFonts w:ascii="Times New Roman" w:hAnsi="Times New Roman" w:cs="Helvetica"/>
          <w:sz w:val="24"/>
          <w:szCs w:val="26"/>
          <w:lang w:val="en-GB"/>
        </w:rPr>
        <w:t xml:space="preserve"> and (t</w:t>
      </w:r>
      <w:r w:rsidR="00EE1FDA" w:rsidRPr="00224AF3">
        <w:rPr>
          <w:rFonts w:ascii="Times New Roman" w:hAnsi="Times New Roman" w:cs="Helvetica"/>
          <w:sz w:val="24"/>
          <w:szCs w:val="26"/>
          <w:lang w:val="en-GB"/>
        </w:rPr>
        <w:t>o a lesser extent) innovation</w:t>
      </w:r>
      <w:r w:rsidR="007D2C49" w:rsidRPr="00224AF3">
        <w:rPr>
          <w:rFonts w:ascii="Times New Roman" w:hAnsi="Times New Roman" w:cs="Helvetica"/>
          <w:sz w:val="24"/>
          <w:szCs w:val="26"/>
          <w:lang w:val="en-GB"/>
        </w:rPr>
        <w:t xml:space="preserve">, </w:t>
      </w:r>
      <w:r w:rsidR="00EE1FDA" w:rsidRPr="00224AF3">
        <w:rPr>
          <w:rFonts w:ascii="Times New Roman" w:hAnsi="Times New Roman" w:cs="Helvetica"/>
          <w:sz w:val="24"/>
          <w:szCs w:val="26"/>
          <w:lang w:val="en-GB"/>
        </w:rPr>
        <w:t xml:space="preserve">Lisbon’s Strategy </w:t>
      </w:r>
      <w:r w:rsidR="006C6740" w:rsidRPr="00224AF3">
        <w:rPr>
          <w:rFonts w:ascii="Times New Roman" w:hAnsi="Times New Roman" w:cs="Helvetica"/>
          <w:sz w:val="24"/>
          <w:szCs w:val="26"/>
          <w:lang w:val="en-GB"/>
        </w:rPr>
        <w:t>overall tangible performance</w:t>
      </w:r>
      <w:r w:rsidR="009A679E" w:rsidRPr="00224AF3">
        <w:rPr>
          <w:rFonts w:ascii="Times New Roman" w:hAnsi="Times New Roman" w:cs="Helvetica"/>
          <w:sz w:val="24"/>
          <w:szCs w:val="26"/>
          <w:lang w:val="en-GB"/>
        </w:rPr>
        <w:t xml:space="preserve"> </w:t>
      </w:r>
      <w:r w:rsidR="00EE1FDA" w:rsidRPr="00224AF3">
        <w:rPr>
          <w:rFonts w:ascii="Times New Roman" w:hAnsi="Times New Roman" w:cs="Helvetica"/>
          <w:sz w:val="24"/>
          <w:szCs w:val="26"/>
          <w:lang w:val="en-GB"/>
        </w:rPr>
        <w:t xml:space="preserve">in these areas </w:t>
      </w:r>
      <w:r w:rsidR="009A679E" w:rsidRPr="00224AF3">
        <w:rPr>
          <w:rFonts w:ascii="Times New Roman" w:hAnsi="Times New Roman" w:cs="Helvetica"/>
          <w:sz w:val="24"/>
          <w:szCs w:val="26"/>
          <w:lang w:val="en-GB"/>
        </w:rPr>
        <w:t xml:space="preserve">ended up as a failure. </w:t>
      </w:r>
      <w:r w:rsidR="00BA437E" w:rsidRPr="00224AF3">
        <w:rPr>
          <w:rFonts w:ascii="Times New Roman" w:hAnsi="Times New Roman" w:cs="Helvetica"/>
          <w:sz w:val="24"/>
          <w:szCs w:val="26"/>
          <w:lang w:val="en-GB"/>
        </w:rPr>
        <w:t xml:space="preserve">The overall spending on </w:t>
      </w:r>
      <w:r w:rsidR="00F05BAB" w:rsidRPr="00224AF3">
        <w:rPr>
          <w:rFonts w:ascii="Times New Roman" w:hAnsi="Times New Roman" w:cs="Helvetica"/>
          <w:sz w:val="24"/>
          <w:szCs w:val="26"/>
          <w:lang w:val="en-GB"/>
        </w:rPr>
        <w:t xml:space="preserve">R&amp;D </w:t>
      </w:r>
      <w:r w:rsidR="00F515C2" w:rsidRPr="00224AF3">
        <w:rPr>
          <w:rFonts w:ascii="Times New Roman" w:hAnsi="Times New Roman" w:cs="Helvetica"/>
          <w:sz w:val="24"/>
          <w:szCs w:val="26"/>
          <w:lang w:val="en-GB"/>
        </w:rPr>
        <w:t>had</w:t>
      </w:r>
      <w:r w:rsidR="00BA437E" w:rsidRPr="00224AF3">
        <w:rPr>
          <w:rFonts w:ascii="Times New Roman" w:hAnsi="Times New Roman" w:cs="Helvetica"/>
          <w:sz w:val="24"/>
          <w:szCs w:val="26"/>
          <w:lang w:val="en-GB"/>
        </w:rPr>
        <w:t xml:space="preserve"> </w:t>
      </w:r>
      <w:r w:rsidR="00F05BAB" w:rsidRPr="00224AF3">
        <w:rPr>
          <w:rFonts w:ascii="Times New Roman" w:hAnsi="Times New Roman" w:cs="Helvetica"/>
          <w:sz w:val="24"/>
          <w:szCs w:val="26"/>
          <w:lang w:val="en-GB"/>
        </w:rPr>
        <w:t>improved</w:t>
      </w:r>
      <w:r w:rsidR="00BA437E" w:rsidRPr="00224AF3">
        <w:rPr>
          <w:rFonts w:ascii="Times New Roman" w:hAnsi="Times New Roman" w:cs="Helvetica"/>
          <w:sz w:val="24"/>
          <w:szCs w:val="26"/>
          <w:lang w:val="en-GB"/>
        </w:rPr>
        <w:t xml:space="preserve"> only </w:t>
      </w:r>
      <w:r w:rsidR="00EE1FDA" w:rsidRPr="00224AF3">
        <w:rPr>
          <w:rFonts w:ascii="Times New Roman" w:hAnsi="Times New Roman" w:cs="Helvetica"/>
          <w:sz w:val="24"/>
          <w:szCs w:val="26"/>
          <w:lang w:val="en-GB"/>
        </w:rPr>
        <w:t>slightly</w:t>
      </w:r>
      <w:r w:rsidR="00BA437E" w:rsidRPr="00224AF3">
        <w:rPr>
          <w:rFonts w:ascii="Times New Roman" w:hAnsi="Times New Roman" w:cs="Helvetica"/>
          <w:sz w:val="24"/>
          <w:szCs w:val="26"/>
          <w:lang w:val="en-GB"/>
        </w:rPr>
        <w:t xml:space="preserve"> </w:t>
      </w:r>
      <w:r w:rsidR="00EE1FDA" w:rsidRPr="00224AF3">
        <w:rPr>
          <w:rFonts w:ascii="Times New Roman" w:hAnsi="Times New Roman" w:cs="Helvetica"/>
          <w:sz w:val="24"/>
          <w:szCs w:val="26"/>
          <w:lang w:val="en-GB"/>
        </w:rPr>
        <w:t>from 1.8 per cent in 2000 to an estimated 2.0</w:t>
      </w:r>
      <w:r w:rsidR="00BA437E" w:rsidRPr="00224AF3">
        <w:rPr>
          <w:rFonts w:ascii="Times New Roman" w:hAnsi="Times New Roman" w:cs="Helvetica"/>
          <w:sz w:val="24"/>
          <w:szCs w:val="26"/>
          <w:lang w:val="en-GB"/>
        </w:rPr>
        <w:t xml:space="preserve"> per cen</w:t>
      </w:r>
      <w:r w:rsidR="00EE1FDA" w:rsidRPr="00224AF3">
        <w:rPr>
          <w:rFonts w:ascii="Times New Roman" w:hAnsi="Times New Roman" w:cs="Helvetica"/>
          <w:sz w:val="24"/>
          <w:szCs w:val="26"/>
          <w:lang w:val="en-GB"/>
        </w:rPr>
        <w:t>t in 2010</w:t>
      </w:r>
      <w:r w:rsidR="00BA437E" w:rsidRPr="00224AF3">
        <w:rPr>
          <w:rFonts w:ascii="Times New Roman" w:hAnsi="Times New Roman" w:cs="Helvetica"/>
          <w:sz w:val="24"/>
          <w:szCs w:val="26"/>
          <w:lang w:val="en-GB"/>
        </w:rPr>
        <w:t xml:space="preserve"> on average across</w:t>
      </w:r>
      <w:r w:rsidR="00EE1FDA" w:rsidRPr="00224AF3">
        <w:rPr>
          <w:rFonts w:ascii="Times New Roman" w:hAnsi="Times New Roman" w:cs="Helvetica"/>
          <w:sz w:val="24"/>
          <w:szCs w:val="26"/>
          <w:lang w:val="en-GB"/>
        </w:rPr>
        <w:t xml:space="preserve"> the</w:t>
      </w:r>
      <w:r w:rsidR="00BA437E" w:rsidRPr="00224AF3">
        <w:rPr>
          <w:rFonts w:ascii="Times New Roman" w:hAnsi="Times New Roman" w:cs="Helvetica"/>
          <w:sz w:val="24"/>
          <w:szCs w:val="26"/>
          <w:lang w:val="en-GB"/>
        </w:rPr>
        <w:t xml:space="preserve"> EU</w:t>
      </w:r>
      <w:r w:rsidR="006736D9" w:rsidRPr="00224AF3">
        <w:rPr>
          <w:rFonts w:ascii="Times New Roman" w:hAnsi="Times New Roman" w:cs="Helvetica"/>
          <w:sz w:val="24"/>
          <w:szCs w:val="26"/>
          <w:lang w:val="en-GB"/>
        </w:rPr>
        <w:t>-</w:t>
      </w:r>
      <w:r w:rsidR="00D018FA" w:rsidRPr="00224AF3">
        <w:rPr>
          <w:rFonts w:ascii="Times New Roman" w:hAnsi="Times New Roman" w:cs="Helvetica"/>
          <w:sz w:val="24"/>
          <w:szCs w:val="26"/>
          <w:lang w:val="en-GB"/>
        </w:rPr>
        <w:t>27!</w:t>
      </w:r>
      <w:r w:rsidR="007548CB" w:rsidRPr="00224AF3">
        <w:rPr>
          <w:rFonts w:ascii="Times New Roman" w:hAnsi="Times New Roman" w:cs="Helvetica"/>
          <w:sz w:val="24"/>
          <w:szCs w:val="26"/>
          <w:lang w:val="en-GB"/>
        </w:rPr>
        <w:t xml:space="preserve"> This </w:t>
      </w:r>
      <w:r w:rsidR="00D018FA" w:rsidRPr="00224AF3">
        <w:rPr>
          <w:rFonts w:ascii="Times New Roman" w:hAnsi="Times New Roman" w:cs="Helvetica"/>
          <w:sz w:val="24"/>
          <w:szCs w:val="26"/>
          <w:lang w:val="en-GB"/>
        </w:rPr>
        <w:t>debacle is</w:t>
      </w:r>
      <w:r w:rsidR="007548CB" w:rsidRPr="00224AF3">
        <w:rPr>
          <w:rFonts w:ascii="Times New Roman" w:hAnsi="Times New Roman" w:cs="Helvetica"/>
          <w:sz w:val="24"/>
          <w:szCs w:val="26"/>
          <w:lang w:val="en-GB"/>
        </w:rPr>
        <w:t xml:space="preserve"> even more </w:t>
      </w:r>
      <w:r w:rsidR="00336681" w:rsidRPr="00224AF3">
        <w:rPr>
          <w:rFonts w:ascii="Times New Roman" w:hAnsi="Times New Roman" w:cs="Helvetica"/>
          <w:sz w:val="24"/>
          <w:szCs w:val="26"/>
          <w:lang w:val="en-GB"/>
        </w:rPr>
        <w:t xml:space="preserve">remarkable taking into account that the </w:t>
      </w:r>
      <w:r w:rsidR="00D018FA" w:rsidRPr="00224AF3">
        <w:rPr>
          <w:rFonts w:ascii="Times New Roman" w:hAnsi="Times New Roman" w:cs="Helvetica"/>
          <w:sz w:val="24"/>
          <w:szCs w:val="26"/>
          <w:lang w:val="en-GB"/>
        </w:rPr>
        <w:t>Strategy emphasised the “significant role played by R&amp;D in generating economic growth, employment and social cohesion” (</w:t>
      </w:r>
      <w:r w:rsidR="0043517F" w:rsidRPr="00224AF3">
        <w:rPr>
          <w:rFonts w:ascii="Times New Roman" w:hAnsi="Times New Roman" w:cs="Helvetica"/>
          <w:sz w:val="24"/>
          <w:szCs w:val="26"/>
          <w:lang w:val="en-GB"/>
        </w:rPr>
        <w:t>European Council</w:t>
      </w:r>
      <w:r w:rsidR="00D018FA" w:rsidRPr="00224AF3">
        <w:rPr>
          <w:rFonts w:ascii="Times New Roman" w:hAnsi="Times New Roman" w:cs="Helvetica"/>
          <w:sz w:val="24"/>
          <w:szCs w:val="26"/>
          <w:lang w:val="en-GB"/>
        </w:rPr>
        <w:t xml:space="preserve"> 2000). </w:t>
      </w:r>
      <w:r w:rsidR="00F05BAB" w:rsidRPr="00224AF3">
        <w:rPr>
          <w:rFonts w:ascii="Times New Roman" w:hAnsi="Times New Roman" w:cs="Helvetica"/>
          <w:sz w:val="24"/>
          <w:szCs w:val="26"/>
          <w:lang w:val="en-GB"/>
        </w:rPr>
        <w:t xml:space="preserve">Yet again, it </w:t>
      </w:r>
      <w:r w:rsidR="00C77B49" w:rsidRPr="00224AF3">
        <w:rPr>
          <w:rFonts w:ascii="Times New Roman" w:hAnsi="Times New Roman" w:cs="Helvetica"/>
          <w:sz w:val="24"/>
          <w:szCs w:val="26"/>
          <w:lang w:val="en-GB"/>
        </w:rPr>
        <w:t>must be stressed that the scores</w:t>
      </w:r>
      <w:r w:rsidR="00F05BAB" w:rsidRPr="00224AF3">
        <w:rPr>
          <w:rFonts w:ascii="Times New Roman" w:hAnsi="Times New Roman" w:cs="Helvetica"/>
          <w:sz w:val="24"/>
          <w:szCs w:val="26"/>
          <w:lang w:val="en-GB"/>
        </w:rPr>
        <w:t xml:space="preserve"> </w:t>
      </w:r>
      <w:r w:rsidR="00EE1FDA" w:rsidRPr="00224AF3">
        <w:rPr>
          <w:rFonts w:ascii="Times New Roman" w:hAnsi="Times New Roman" w:cs="Helvetica"/>
          <w:sz w:val="24"/>
          <w:szCs w:val="26"/>
          <w:lang w:val="en-GB"/>
        </w:rPr>
        <w:t xml:space="preserve">among the Member States vary to a significant degree. Nonetheless, only </w:t>
      </w:r>
      <w:r w:rsidR="007548CB" w:rsidRPr="00224AF3">
        <w:rPr>
          <w:rFonts w:ascii="Times New Roman" w:hAnsi="Times New Roman" w:cs="Helvetica"/>
          <w:sz w:val="24"/>
          <w:szCs w:val="26"/>
          <w:lang w:val="en-GB"/>
        </w:rPr>
        <w:t xml:space="preserve">the three Nordic countries – Denmark, Finland and Sweden – exceeded the 3 per cent mark by the end of 2010 (Eurostat 2012). </w:t>
      </w:r>
      <w:r w:rsidR="005006E8" w:rsidRPr="00224AF3">
        <w:rPr>
          <w:rFonts w:ascii="Times New Roman" w:hAnsi="Times New Roman" w:cs="Helvetica"/>
          <w:sz w:val="24"/>
          <w:szCs w:val="26"/>
          <w:lang w:val="en-GB"/>
        </w:rPr>
        <w:t>The story of innovation is also disappointing</w:t>
      </w:r>
      <w:r w:rsidR="003D0A72" w:rsidRPr="00224AF3">
        <w:rPr>
          <w:rFonts w:ascii="Times New Roman" w:hAnsi="Times New Roman" w:cs="Helvetica"/>
          <w:sz w:val="24"/>
          <w:szCs w:val="26"/>
          <w:lang w:val="en-GB"/>
        </w:rPr>
        <w:t xml:space="preserve">; according to Innovation Union Scoreboard 2010, the US and Japan have </w:t>
      </w:r>
      <w:r w:rsidR="005006E8" w:rsidRPr="00224AF3">
        <w:rPr>
          <w:rFonts w:ascii="Times New Roman" w:hAnsi="Times New Roman" w:cs="Helvetica"/>
          <w:sz w:val="24"/>
          <w:szCs w:val="26"/>
          <w:lang w:val="en-GB"/>
        </w:rPr>
        <w:t xml:space="preserve">held a </w:t>
      </w:r>
      <w:r w:rsidR="003D0A72" w:rsidRPr="00224AF3">
        <w:rPr>
          <w:rFonts w:ascii="Times New Roman" w:hAnsi="Times New Roman" w:cs="Helvetica"/>
          <w:sz w:val="24"/>
          <w:szCs w:val="26"/>
          <w:lang w:val="en-GB"/>
        </w:rPr>
        <w:t xml:space="preserve">stable lead </w:t>
      </w:r>
      <w:r w:rsidR="005006E8" w:rsidRPr="00224AF3">
        <w:rPr>
          <w:rFonts w:ascii="Times New Roman" w:hAnsi="Times New Roman" w:cs="Helvetica"/>
          <w:sz w:val="24"/>
          <w:szCs w:val="26"/>
          <w:lang w:val="en-GB"/>
        </w:rPr>
        <w:t xml:space="preserve">over the EU-27 over the decade. Similarly, only the Nordic countries </w:t>
      </w:r>
      <w:r w:rsidR="00E6401F" w:rsidRPr="00224AF3">
        <w:rPr>
          <w:rFonts w:ascii="Times New Roman" w:hAnsi="Times New Roman" w:cs="Helvetica"/>
          <w:sz w:val="24"/>
          <w:szCs w:val="26"/>
          <w:lang w:val="en-GB"/>
        </w:rPr>
        <w:t xml:space="preserve">accompanied by Germany are able to </w:t>
      </w:r>
      <w:r w:rsidR="00E6401F" w:rsidRPr="00224AF3">
        <w:rPr>
          <w:rFonts w:ascii="Times New Roman" w:hAnsi="Times New Roman" w:cs="Helvetica"/>
          <w:sz w:val="24"/>
          <w:szCs w:val="26"/>
          <w:lang w:val="en-GB"/>
        </w:rPr>
        <w:lastRenderedPageBreak/>
        <w:t xml:space="preserve">match the scores of the two </w:t>
      </w:r>
      <w:r w:rsidR="00045946" w:rsidRPr="00224AF3">
        <w:rPr>
          <w:rFonts w:ascii="Times New Roman" w:hAnsi="Times New Roman" w:cs="Helvetica"/>
          <w:sz w:val="24"/>
          <w:szCs w:val="26"/>
          <w:lang w:val="en-GB"/>
        </w:rPr>
        <w:t>major international competitors (Innovation Union 2010: 14-16).</w:t>
      </w:r>
      <w:r w:rsidR="000313E5" w:rsidRPr="00224AF3">
        <w:rPr>
          <w:rFonts w:ascii="Times New Roman" w:hAnsi="Times New Roman" w:cs="Helvetica"/>
          <w:sz w:val="24"/>
          <w:szCs w:val="26"/>
          <w:lang w:val="en-GB"/>
        </w:rPr>
        <w:t xml:space="preserve"> </w:t>
      </w:r>
    </w:p>
    <w:p w:rsidR="00C26001" w:rsidRPr="00224AF3" w:rsidRDefault="00EE1FDA" w:rsidP="00C26001">
      <w:pPr>
        <w:pStyle w:val="NormalWeb"/>
        <w:spacing w:beforeLines="0" w:afterLines="0" w:line="360" w:lineRule="auto"/>
        <w:jc w:val="both"/>
        <w:rPr>
          <w:rFonts w:ascii="Times New Roman" w:hAnsi="Times New Roman" w:cs="Helvetica"/>
          <w:b/>
          <w:i/>
          <w:sz w:val="24"/>
          <w:szCs w:val="26"/>
          <w:lang w:val="en-GB"/>
        </w:rPr>
      </w:pPr>
      <w:r w:rsidRPr="00224AF3">
        <w:rPr>
          <w:rFonts w:ascii="Times New Roman" w:hAnsi="Times New Roman" w:cs="Helvetica"/>
          <w:b/>
          <w:i/>
          <w:sz w:val="24"/>
          <w:szCs w:val="26"/>
          <w:lang w:val="en-GB"/>
        </w:rPr>
        <w:t>Failure to</w:t>
      </w:r>
      <w:r w:rsidR="009779BD" w:rsidRPr="00224AF3">
        <w:rPr>
          <w:rFonts w:ascii="Times New Roman" w:hAnsi="Times New Roman" w:cs="Helvetica"/>
          <w:b/>
          <w:i/>
          <w:sz w:val="24"/>
          <w:szCs w:val="26"/>
          <w:lang w:val="en-GB"/>
        </w:rPr>
        <w:t xml:space="preserve"> achieve</w:t>
      </w:r>
      <w:r w:rsidR="00A45CFD" w:rsidRPr="00224AF3">
        <w:rPr>
          <w:rFonts w:ascii="Times New Roman" w:hAnsi="Times New Roman" w:cs="Helvetica"/>
          <w:b/>
          <w:i/>
          <w:sz w:val="24"/>
          <w:szCs w:val="26"/>
          <w:lang w:val="en-GB"/>
        </w:rPr>
        <w:t xml:space="preserve"> </w:t>
      </w:r>
      <w:r w:rsidR="00C26001" w:rsidRPr="00224AF3">
        <w:rPr>
          <w:rFonts w:ascii="Times New Roman" w:hAnsi="Times New Roman" w:cs="Helvetica"/>
          <w:b/>
          <w:i/>
          <w:sz w:val="24"/>
          <w:szCs w:val="26"/>
          <w:lang w:val="en-GB"/>
        </w:rPr>
        <w:t>sustainable growth with more and better jobs and greater social cohesion</w:t>
      </w:r>
    </w:p>
    <w:p w:rsidR="00C26001" w:rsidRPr="00224AF3" w:rsidRDefault="00C26001" w:rsidP="00224AF3">
      <w:pPr>
        <w:pStyle w:val="NormalWeb"/>
        <w:spacing w:beforeLines="0" w:afterLines="0" w:line="360" w:lineRule="auto"/>
        <w:ind w:firstLine="720"/>
        <w:jc w:val="both"/>
        <w:rPr>
          <w:rFonts w:ascii="Times New Roman" w:hAnsi="Times New Roman" w:cs="Helvetica"/>
          <w:sz w:val="24"/>
          <w:szCs w:val="26"/>
        </w:rPr>
      </w:pPr>
      <w:r w:rsidRPr="00224AF3">
        <w:rPr>
          <w:rFonts w:ascii="Times New Roman" w:hAnsi="Times New Roman" w:cs="Helvetica"/>
          <w:sz w:val="24"/>
          <w:szCs w:val="26"/>
        </w:rPr>
        <w:t>The Lisbon Strategy declared that applying ‘appropriate macro-economic policy mix’ would be the key to achieve a sustainable growth in the EU. However, the fiscal part of the mix has been highly criticized, as the budget policy regulated by the Stability and Growth Pact (SGP) has not been respected by Member States. The improper implementation of SGP resulted in a gradual increase of</w:t>
      </w:r>
      <w:r w:rsidR="003A73A4" w:rsidRPr="00224AF3">
        <w:rPr>
          <w:rFonts w:ascii="Times New Roman" w:hAnsi="Times New Roman" w:cs="Helvetica"/>
          <w:sz w:val="24"/>
          <w:szCs w:val="26"/>
        </w:rPr>
        <w:t xml:space="preserve"> an</w:t>
      </w:r>
      <w:r w:rsidRPr="00224AF3">
        <w:rPr>
          <w:rFonts w:ascii="Times New Roman" w:hAnsi="Times New Roman" w:cs="Helvetica"/>
          <w:sz w:val="24"/>
          <w:szCs w:val="26"/>
        </w:rPr>
        <w:t xml:space="preserve"> annual average deficit of Member States from 1.3 per cent of GDP in 2001 to 2.6 per cent of GDP in 2004 (Eurostat 2005). As a result of higher deficits, the equilibrium interest rates soared, impeding</w:t>
      </w:r>
      <w:r w:rsidR="003A73A4" w:rsidRPr="00224AF3">
        <w:rPr>
          <w:rFonts w:ascii="Times New Roman" w:hAnsi="Times New Roman" w:cs="Helvetica"/>
          <w:sz w:val="24"/>
          <w:szCs w:val="26"/>
        </w:rPr>
        <w:t xml:space="preserve"> an</w:t>
      </w:r>
      <w:r w:rsidRPr="00224AF3">
        <w:rPr>
          <w:rFonts w:ascii="Times New Roman" w:hAnsi="Times New Roman" w:cs="Helvetica"/>
          <w:sz w:val="24"/>
          <w:szCs w:val="26"/>
        </w:rPr>
        <w:t xml:space="preserve"> investment and growth (Collignon 2008: 92). The post-2007 financial crisis further revealed the serious weaknesses within European economic policy coordination. As Dyson and Quaglia (2012: 200) state, countries that had been considered to be sustainable such as Ireland and Spain, were shown to be unsustainable, because they relied almost exclusively on consumer indebtedness and asset price bubbles in financial and property markets. In 2012, Greece, Italy and Portugal also suffered from weak competi</w:t>
      </w:r>
      <w:r w:rsidR="003A73A4" w:rsidRPr="00224AF3">
        <w:rPr>
          <w:rFonts w:ascii="Times New Roman" w:hAnsi="Times New Roman" w:cs="Helvetica"/>
          <w:sz w:val="24"/>
          <w:szCs w:val="26"/>
        </w:rPr>
        <w:t>ti</w:t>
      </w:r>
      <w:r w:rsidRPr="00224AF3">
        <w:rPr>
          <w:rFonts w:ascii="Times New Roman" w:hAnsi="Times New Roman" w:cs="Helvetica"/>
          <w:sz w:val="24"/>
          <w:szCs w:val="26"/>
        </w:rPr>
        <w:t>veness, large account deficits and unsustainable fiscal positions as measured in sovereign debt (Dyson and Quaglia 2012: 201). Ultimately, even the Commission conceded the failure of Lisbon Strategy to preve</w:t>
      </w:r>
      <w:r w:rsidR="003A73A4" w:rsidRPr="00224AF3">
        <w:rPr>
          <w:rFonts w:ascii="Times New Roman" w:hAnsi="Times New Roman" w:cs="Helvetica"/>
          <w:sz w:val="24"/>
          <w:szCs w:val="26"/>
        </w:rPr>
        <w:t xml:space="preserve">nt the crisis and bring about </w:t>
      </w:r>
      <w:r w:rsidRPr="00224AF3">
        <w:rPr>
          <w:rFonts w:ascii="Times New Roman" w:hAnsi="Times New Roman" w:cs="Helvetica"/>
          <w:sz w:val="24"/>
          <w:szCs w:val="26"/>
        </w:rPr>
        <w:t>sustainable growth. As it stated: “GDP fell by 4% in 2009…</w:t>
      </w:r>
      <w:r w:rsidRPr="00224AF3">
        <w:rPr>
          <w:rFonts w:ascii="Times New Roman" w:hAnsi="Times New Roman"/>
          <w:sz w:val="24"/>
        </w:rPr>
        <w:t xml:space="preserve"> </w:t>
      </w:r>
      <w:r w:rsidRPr="00224AF3">
        <w:rPr>
          <w:rFonts w:ascii="Times New Roman" w:hAnsi="Times New Roman" w:cs="Helvetica"/>
          <w:sz w:val="24"/>
          <w:szCs w:val="26"/>
        </w:rPr>
        <w:t>Public finances are in tatters, with deficits now reaching 7% of GDP and debt levels having increased by 20 percentage points” (European Commission 2010: 2)</w:t>
      </w:r>
      <w:r w:rsidR="00224AF3">
        <w:rPr>
          <w:rFonts w:ascii="Times New Roman" w:hAnsi="Times New Roman" w:cs="Helvetica"/>
          <w:sz w:val="24"/>
          <w:szCs w:val="26"/>
        </w:rPr>
        <w:t>.</w:t>
      </w:r>
    </w:p>
    <w:p w:rsidR="00001FEB" w:rsidRPr="00224AF3" w:rsidRDefault="00C26001" w:rsidP="00224AF3">
      <w:pPr>
        <w:pStyle w:val="NormalWeb"/>
        <w:spacing w:beforeLines="0" w:afterLines="0" w:line="360" w:lineRule="auto"/>
        <w:jc w:val="both"/>
        <w:rPr>
          <w:rFonts w:ascii="Times New Roman" w:hAnsi="Times New Roman" w:cs="Helvetica"/>
          <w:sz w:val="24"/>
          <w:szCs w:val="26"/>
        </w:rPr>
      </w:pPr>
      <w:r w:rsidRPr="00224AF3">
        <w:rPr>
          <w:rFonts w:ascii="Times New Roman" w:hAnsi="Times New Roman" w:cs="Helvetica"/>
          <w:sz w:val="24"/>
          <w:szCs w:val="26"/>
        </w:rPr>
        <w:tab/>
        <w:t>While the arrival of the crisis in 2008 signifie</w:t>
      </w:r>
      <w:r w:rsidR="003A73A4" w:rsidRPr="00224AF3">
        <w:rPr>
          <w:rFonts w:ascii="Times New Roman" w:hAnsi="Times New Roman" w:cs="Helvetica"/>
          <w:sz w:val="24"/>
          <w:szCs w:val="26"/>
        </w:rPr>
        <w:t xml:space="preserve">d a remarkable backlash for </w:t>
      </w:r>
      <w:r w:rsidRPr="00224AF3">
        <w:rPr>
          <w:rFonts w:ascii="Times New Roman" w:hAnsi="Times New Roman" w:cs="Helvetica"/>
          <w:sz w:val="24"/>
          <w:szCs w:val="26"/>
        </w:rPr>
        <w:t xml:space="preserve">progress towards </w:t>
      </w:r>
      <w:r w:rsidR="00A100E6" w:rsidRPr="00224AF3">
        <w:rPr>
          <w:rFonts w:ascii="Times New Roman" w:hAnsi="Times New Roman" w:cs="Helvetica"/>
          <w:sz w:val="24"/>
          <w:szCs w:val="26"/>
        </w:rPr>
        <w:t xml:space="preserve">the </w:t>
      </w:r>
      <w:r w:rsidRPr="00224AF3">
        <w:rPr>
          <w:rFonts w:ascii="Times New Roman" w:hAnsi="Times New Roman" w:cs="Helvetica"/>
          <w:sz w:val="24"/>
          <w:szCs w:val="26"/>
        </w:rPr>
        <w:t xml:space="preserve">Lisbon aims, even before the crisis most of the Lisbon benchmarks were missed by wide margins. The area of employment, which gained a primary status after the Strategy’s relaunch in 2005, was no exception. </w:t>
      </w:r>
      <w:r w:rsidR="001F247D" w:rsidRPr="00224AF3">
        <w:rPr>
          <w:rFonts w:ascii="Times New Roman" w:hAnsi="Times New Roman" w:cs="Helvetica"/>
          <w:sz w:val="24"/>
          <w:szCs w:val="26"/>
        </w:rPr>
        <w:t>Drawing up new Employment Guidelines, the Lisbon Strategy</w:t>
      </w:r>
      <w:r w:rsidRPr="00224AF3">
        <w:rPr>
          <w:rFonts w:ascii="Times New Roman" w:hAnsi="Times New Roman" w:cs="Helvetica"/>
          <w:sz w:val="24"/>
          <w:szCs w:val="26"/>
        </w:rPr>
        <w:t xml:space="preserve"> intended to increase</w:t>
      </w:r>
      <w:r w:rsidR="003A73A4" w:rsidRPr="00224AF3">
        <w:rPr>
          <w:rFonts w:ascii="Times New Roman" w:hAnsi="Times New Roman" w:cs="Helvetica"/>
          <w:sz w:val="24"/>
          <w:szCs w:val="26"/>
        </w:rPr>
        <w:t xml:space="preserve"> a</w:t>
      </w:r>
      <w:r w:rsidRPr="00224AF3">
        <w:rPr>
          <w:rFonts w:ascii="Times New Roman" w:hAnsi="Times New Roman" w:cs="Helvetica"/>
          <w:sz w:val="24"/>
          <w:szCs w:val="26"/>
        </w:rPr>
        <w:t xml:space="preserve"> total employment rate to 70 per cent, female employment rates to 60 per cent, and the employment rate of older workers (aged 55 to 64) to 50 per cent (Vural 2011: 13). At first glance, the results seemed encouraging; between 2000 and 2008, the total rate grew in all Member States with the exception of Portugal and Romania. Even though the total rate rose by close to four percentage</w:t>
      </w:r>
      <w:r w:rsidR="00B90BD7" w:rsidRPr="00224AF3">
        <w:rPr>
          <w:rFonts w:ascii="Times New Roman" w:hAnsi="Times New Roman" w:cs="Helvetica"/>
          <w:sz w:val="24"/>
          <w:szCs w:val="26"/>
        </w:rPr>
        <w:t xml:space="preserve"> points</w:t>
      </w:r>
      <w:r w:rsidRPr="00224AF3">
        <w:rPr>
          <w:rFonts w:ascii="Times New Roman" w:hAnsi="Times New Roman" w:cs="Helvetica"/>
          <w:sz w:val="24"/>
          <w:szCs w:val="26"/>
        </w:rPr>
        <w:t xml:space="preserve"> in this period, reaching 65.9 per cent in 2008, the target has still remained far from being achieved. The rate of female employment in the EU-27 increased rapidly from 53.7 per </w:t>
      </w:r>
      <w:r w:rsidRPr="00224AF3">
        <w:rPr>
          <w:rFonts w:ascii="Times New Roman" w:hAnsi="Times New Roman" w:cs="Helvetica"/>
          <w:sz w:val="24"/>
          <w:szCs w:val="26"/>
        </w:rPr>
        <w:lastRenderedPageBreak/>
        <w:t>cent in 2000 to 59.1 per cent in 2008 – almost reaching the set target. The most substantial progress has been made among the category of workers aged 55 to 64, where the employment rate rose from 36.9 per cent in 2000 to 45.6 per cent in 2008. Yet again, the desired target of 50 per cent was not met. In aggregate, there has been an improvement in performance of the EU labour market, but the nature of this improvement has been modest at best</w:t>
      </w:r>
      <w:r w:rsidR="00542E5A" w:rsidRPr="00224AF3">
        <w:rPr>
          <w:rFonts w:ascii="Times New Roman" w:hAnsi="Times New Roman" w:cs="Helvetica"/>
          <w:sz w:val="24"/>
          <w:szCs w:val="26"/>
        </w:rPr>
        <w:t xml:space="preserve">. The crisis should not be blamed for this failure, as it safe to claim that two-thirds of </w:t>
      </w:r>
      <w:r w:rsidR="003A73A4" w:rsidRPr="00224AF3">
        <w:rPr>
          <w:rFonts w:ascii="Times New Roman" w:hAnsi="Times New Roman" w:cs="Helvetica"/>
          <w:sz w:val="24"/>
          <w:szCs w:val="26"/>
        </w:rPr>
        <w:t xml:space="preserve">the </w:t>
      </w:r>
      <w:r w:rsidR="00542E5A" w:rsidRPr="00224AF3">
        <w:rPr>
          <w:rFonts w:ascii="Times New Roman" w:hAnsi="Times New Roman" w:cs="Helvetica"/>
          <w:sz w:val="24"/>
          <w:szCs w:val="26"/>
        </w:rPr>
        <w:t>Member States would come nowhere near reaching their targets even in the absence of the crisis (Tilford and Whyte 2010: 68-70).</w:t>
      </w:r>
    </w:p>
    <w:p w:rsidR="00224AF3" w:rsidRDefault="00001FEB" w:rsidP="00224AF3">
      <w:pPr>
        <w:pStyle w:val="NormalWeb"/>
        <w:spacing w:beforeLines="0" w:afterLines="0" w:line="360" w:lineRule="auto"/>
        <w:ind w:firstLine="212"/>
        <w:jc w:val="both"/>
        <w:rPr>
          <w:rFonts w:ascii="Times New Roman" w:hAnsi="Times New Roman" w:cs="Helvetica"/>
          <w:sz w:val="24"/>
          <w:szCs w:val="26"/>
        </w:rPr>
      </w:pPr>
      <w:r w:rsidRPr="00224AF3">
        <w:rPr>
          <w:rFonts w:ascii="Times New Roman" w:hAnsi="Times New Roman" w:cs="Helvetica"/>
          <w:sz w:val="24"/>
          <w:szCs w:val="26"/>
        </w:rPr>
        <w:tab/>
        <w:t xml:space="preserve">Finally, </w:t>
      </w:r>
      <w:r w:rsidR="002274C2" w:rsidRPr="00224AF3">
        <w:rPr>
          <w:rFonts w:ascii="Times New Roman" w:hAnsi="Times New Roman" w:cs="Helvetica"/>
          <w:sz w:val="24"/>
          <w:szCs w:val="26"/>
        </w:rPr>
        <w:t>the social dimension of the Lisbon Strategy, was framed in terms of increasing social cohesion</w:t>
      </w:r>
      <w:r w:rsidR="001F247D" w:rsidRPr="00224AF3">
        <w:rPr>
          <w:rFonts w:ascii="Times New Roman" w:hAnsi="Times New Roman" w:cs="Helvetica"/>
          <w:sz w:val="24"/>
          <w:szCs w:val="26"/>
        </w:rPr>
        <w:t>. The long-term aim was to draw up guidelines for social protection</w:t>
      </w:r>
      <w:r w:rsidR="0091783D" w:rsidRPr="00224AF3">
        <w:rPr>
          <w:rFonts w:ascii="Times New Roman" w:hAnsi="Times New Roman" w:cs="Helvetica"/>
          <w:sz w:val="24"/>
          <w:szCs w:val="26"/>
        </w:rPr>
        <w:t xml:space="preserve"> at the transnational level</w:t>
      </w:r>
      <w:r w:rsidR="001F247D" w:rsidRPr="00224AF3">
        <w:rPr>
          <w:rFonts w:ascii="Times New Roman" w:hAnsi="Times New Roman" w:cs="Helvetica"/>
          <w:sz w:val="24"/>
          <w:szCs w:val="26"/>
        </w:rPr>
        <w:t xml:space="preserve">, which would be implemented in the same manner as the </w:t>
      </w:r>
      <w:r w:rsidR="00192288" w:rsidRPr="00224AF3">
        <w:rPr>
          <w:rFonts w:ascii="Times New Roman" w:hAnsi="Times New Roman" w:cs="Helvetica"/>
          <w:sz w:val="24"/>
          <w:szCs w:val="26"/>
        </w:rPr>
        <w:t xml:space="preserve">Employment Guidelines. </w:t>
      </w:r>
      <w:r w:rsidR="00B037E4" w:rsidRPr="00224AF3">
        <w:rPr>
          <w:rFonts w:ascii="Times New Roman" w:hAnsi="Times New Roman" w:cs="Helvetica"/>
          <w:sz w:val="24"/>
          <w:szCs w:val="26"/>
        </w:rPr>
        <w:t xml:space="preserve">This strategy would involve setting objectives that are ambitious and realistic, using clear indicators, ensuring flexibility for </w:t>
      </w:r>
      <w:r w:rsidR="00893092" w:rsidRPr="00224AF3">
        <w:rPr>
          <w:rFonts w:ascii="Times New Roman" w:hAnsi="Times New Roman" w:cs="Helvetica"/>
          <w:sz w:val="24"/>
          <w:szCs w:val="26"/>
        </w:rPr>
        <w:t>the Member States to be able to implement their respective policies, and closer cooperation base</w:t>
      </w:r>
      <w:r w:rsidR="002230C5" w:rsidRPr="00224AF3">
        <w:rPr>
          <w:rFonts w:ascii="Times New Roman" w:hAnsi="Times New Roman" w:cs="Helvetica"/>
          <w:sz w:val="24"/>
          <w:szCs w:val="26"/>
        </w:rPr>
        <w:t>d on the exchange of experience (de La Porte, Pochet and Room 2001: 297).</w:t>
      </w:r>
      <w:r w:rsidR="00356E71" w:rsidRPr="00224AF3">
        <w:rPr>
          <w:rFonts w:ascii="Times New Roman" w:hAnsi="Times New Roman" w:cs="Helvetica"/>
          <w:sz w:val="24"/>
          <w:szCs w:val="26"/>
        </w:rPr>
        <w:t xml:space="preserve"> However, </w:t>
      </w:r>
      <w:r w:rsidR="0091783D" w:rsidRPr="00224AF3">
        <w:rPr>
          <w:rFonts w:ascii="Times New Roman" w:hAnsi="Times New Roman" w:cs="Helvetica"/>
          <w:sz w:val="24"/>
          <w:szCs w:val="26"/>
        </w:rPr>
        <w:t xml:space="preserve">this programme </w:t>
      </w:r>
      <w:r w:rsidR="00425DB4" w:rsidRPr="00224AF3">
        <w:rPr>
          <w:rFonts w:ascii="Times New Roman" w:hAnsi="Times New Roman" w:cs="Helvetica"/>
          <w:sz w:val="24"/>
          <w:szCs w:val="26"/>
        </w:rPr>
        <w:t>was not even slightly realized</w:t>
      </w:r>
      <w:r w:rsidR="0048426F" w:rsidRPr="00224AF3">
        <w:rPr>
          <w:rFonts w:ascii="Times New Roman" w:hAnsi="Times New Roman" w:cs="Helvetica"/>
          <w:sz w:val="24"/>
          <w:szCs w:val="26"/>
        </w:rPr>
        <w:t xml:space="preserve">, as the Member States opposed any intrusion of the EU into their domestic arrangements and </w:t>
      </w:r>
      <w:r w:rsidR="00952AFD" w:rsidRPr="00224AF3">
        <w:rPr>
          <w:rFonts w:ascii="Times New Roman" w:hAnsi="Times New Roman" w:cs="Helvetica"/>
          <w:sz w:val="24"/>
          <w:szCs w:val="26"/>
        </w:rPr>
        <w:t xml:space="preserve">concurrently </w:t>
      </w:r>
      <w:r w:rsidR="0048426F" w:rsidRPr="00224AF3">
        <w:rPr>
          <w:rFonts w:ascii="Times New Roman" w:hAnsi="Times New Roman" w:cs="Helvetica"/>
          <w:sz w:val="24"/>
          <w:szCs w:val="26"/>
        </w:rPr>
        <w:t>there was no commitment device to sanction them for non-compliance.</w:t>
      </w:r>
      <w:r w:rsidR="0064327C" w:rsidRPr="00224AF3">
        <w:rPr>
          <w:rFonts w:ascii="Times New Roman" w:hAnsi="Times New Roman" w:cs="Helvetica"/>
          <w:sz w:val="24"/>
          <w:szCs w:val="26"/>
        </w:rPr>
        <w:t xml:space="preserve"> The main difficulty for agreeing on common direction was that Member States had different conceptions and mechanisms of the welfare state, with </w:t>
      </w:r>
      <w:r w:rsidR="00791804" w:rsidRPr="00224AF3">
        <w:rPr>
          <w:rFonts w:ascii="Times New Roman" w:hAnsi="Times New Roman" w:cs="Helvetica"/>
          <w:sz w:val="24"/>
          <w:szCs w:val="26"/>
        </w:rPr>
        <w:t>their national social protection systems being embedded within part</w:t>
      </w:r>
      <w:r w:rsidR="000077BD" w:rsidRPr="00224AF3">
        <w:rPr>
          <w:rFonts w:ascii="Times New Roman" w:hAnsi="Times New Roman" w:cs="Helvetica"/>
          <w:sz w:val="24"/>
          <w:szCs w:val="26"/>
        </w:rPr>
        <w:t>icular instituti</w:t>
      </w:r>
      <w:r w:rsidR="009B43BF" w:rsidRPr="00224AF3">
        <w:rPr>
          <w:rFonts w:ascii="Times New Roman" w:hAnsi="Times New Roman" w:cs="Helvetica"/>
          <w:sz w:val="24"/>
          <w:szCs w:val="26"/>
        </w:rPr>
        <w:t>onal structures (de La Porte, Pochet and Room 200</w:t>
      </w:r>
      <w:r w:rsidR="000077BD" w:rsidRPr="00224AF3">
        <w:rPr>
          <w:rFonts w:ascii="Times New Roman" w:hAnsi="Times New Roman" w:cs="Helvetica"/>
          <w:sz w:val="24"/>
          <w:szCs w:val="26"/>
        </w:rPr>
        <w:t xml:space="preserve">1: 297). </w:t>
      </w:r>
      <w:r w:rsidR="00C929D4" w:rsidRPr="00224AF3">
        <w:rPr>
          <w:rFonts w:ascii="Times New Roman" w:hAnsi="Times New Roman" w:cs="Helvetica"/>
          <w:sz w:val="24"/>
          <w:szCs w:val="26"/>
        </w:rPr>
        <w:t xml:space="preserve">The reluctance towards coordination of </w:t>
      </w:r>
      <w:r w:rsidR="003A73A4" w:rsidRPr="00224AF3">
        <w:rPr>
          <w:rFonts w:ascii="Times New Roman" w:hAnsi="Times New Roman" w:cs="Helvetica"/>
          <w:sz w:val="24"/>
          <w:szCs w:val="26"/>
        </w:rPr>
        <w:t xml:space="preserve">the </w:t>
      </w:r>
      <w:r w:rsidR="00C929D4" w:rsidRPr="00224AF3">
        <w:rPr>
          <w:rFonts w:ascii="Times New Roman" w:hAnsi="Times New Roman" w:cs="Helvetica"/>
          <w:sz w:val="24"/>
          <w:szCs w:val="26"/>
        </w:rPr>
        <w:t xml:space="preserve">social agenda was officially </w:t>
      </w:r>
      <w:r w:rsidR="00BC7AED" w:rsidRPr="00224AF3">
        <w:rPr>
          <w:rFonts w:ascii="Times New Roman" w:hAnsi="Times New Roman" w:cs="Helvetica"/>
          <w:sz w:val="24"/>
          <w:szCs w:val="26"/>
        </w:rPr>
        <w:t>recognized in the Nice Treaty, whereby Member States stipulated that the EU policies ‘shall not affect the right of Member States to define the fundamental principles of their social security sy</w:t>
      </w:r>
      <w:r w:rsidR="006A3846" w:rsidRPr="00224AF3">
        <w:rPr>
          <w:rFonts w:ascii="Times New Roman" w:hAnsi="Times New Roman" w:cs="Helvetica"/>
          <w:sz w:val="24"/>
          <w:szCs w:val="26"/>
        </w:rPr>
        <w:t>stems’ (Article 144).</w:t>
      </w:r>
      <w:r w:rsidR="00B22EBF" w:rsidRPr="00224AF3">
        <w:rPr>
          <w:rFonts w:ascii="Times New Roman" w:hAnsi="Times New Roman" w:cs="Helvetica"/>
          <w:sz w:val="24"/>
          <w:szCs w:val="26"/>
        </w:rPr>
        <w:t xml:space="preserve"> Additionally, the redesigning of the Lisbon Strategy midway through the decade to focus </w:t>
      </w:r>
      <w:r w:rsidR="003B6211" w:rsidRPr="00224AF3">
        <w:rPr>
          <w:rFonts w:ascii="Times New Roman" w:hAnsi="Times New Roman" w:cs="Helvetica"/>
          <w:sz w:val="24"/>
          <w:szCs w:val="26"/>
        </w:rPr>
        <w:t>exclusively</w:t>
      </w:r>
      <w:r w:rsidR="00B22EBF" w:rsidRPr="00224AF3">
        <w:rPr>
          <w:rFonts w:ascii="Times New Roman" w:hAnsi="Times New Roman" w:cs="Helvetica"/>
          <w:sz w:val="24"/>
          <w:szCs w:val="26"/>
        </w:rPr>
        <w:t xml:space="preserve"> on growth and jobs marginalized the developments in the area of social cohesion even further (Daly </w:t>
      </w:r>
      <w:r w:rsidR="003B6211" w:rsidRPr="00224AF3">
        <w:rPr>
          <w:rFonts w:ascii="Times New Roman" w:hAnsi="Times New Roman" w:cs="Helvetica"/>
          <w:sz w:val="24"/>
          <w:szCs w:val="26"/>
        </w:rPr>
        <w:t>2012: 90</w:t>
      </w:r>
      <w:r w:rsidR="00B22EBF" w:rsidRPr="00224AF3">
        <w:rPr>
          <w:rFonts w:ascii="Times New Roman" w:hAnsi="Times New Roman" w:cs="Helvetica"/>
          <w:sz w:val="24"/>
          <w:szCs w:val="26"/>
        </w:rPr>
        <w:t>)</w:t>
      </w:r>
      <w:r w:rsidR="003B6211" w:rsidRPr="00224AF3">
        <w:rPr>
          <w:rFonts w:ascii="Times New Roman" w:hAnsi="Times New Roman" w:cs="Helvetica"/>
          <w:sz w:val="24"/>
          <w:szCs w:val="26"/>
        </w:rPr>
        <w:t xml:space="preserve">. </w:t>
      </w:r>
      <w:r w:rsidR="0086794A" w:rsidRPr="00224AF3">
        <w:rPr>
          <w:rFonts w:ascii="Times New Roman" w:hAnsi="Times New Roman" w:cs="Helvetica"/>
          <w:sz w:val="24"/>
          <w:szCs w:val="26"/>
        </w:rPr>
        <w:t xml:space="preserve">As a result, the field remained sidelined up until the end of the decade with no collective objectives, no guidelines, no recommendations and no peer-reviews </w:t>
      </w:r>
      <w:r w:rsidR="000077BD" w:rsidRPr="00224AF3">
        <w:rPr>
          <w:rFonts w:ascii="Times New Roman" w:hAnsi="Times New Roman" w:cs="Helvetica"/>
          <w:sz w:val="24"/>
          <w:szCs w:val="26"/>
        </w:rPr>
        <w:t>being configured.</w:t>
      </w:r>
    </w:p>
    <w:p w:rsidR="000077BD" w:rsidRPr="00224AF3" w:rsidRDefault="000077BD" w:rsidP="00AE1D52">
      <w:pPr>
        <w:pStyle w:val="NormalWeb"/>
        <w:spacing w:beforeLines="0" w:afterLines="0" w:line="360" w:lineRule="auto"/>
        <w:jc w:val="both"/>
        <w:outlineLvl w:val="0"/>
        <w:rPr>
          <w:rFonts w:ascii="Times New Roman" w:hAnsi="Times New Roman" w:cs="Helvetica"/>
          <w:sz w:val="24"/>
          <w:szCs w:val="26"/>
        </w:rPr>
      </w:pPr>
      <w:r w:rsidRPr="00224AF3">
        <w:rPr>
          <w:rFonts w:ascii="Times New Roman" w:hAnsi="Times New Roman" w:cs="Helvetica"/>
          <w:b/>
          <w:sz w:val="24"/>
          <w:szCs w:val="26"/>
          <w:lang w:val="en-GB"/>
        </w:rPr>
        <w:t>B) Causal Failures</w:t>
      </w:r>
    </w:p>
    <w:p w:rsidR="000077BD" w:rsidRPr="00224AF3" w:rsidRDefault="001452A7" w:rsidP="00AE1D52">
      <w:pPr>
        <w:pStyle w:val="NormalWeb"/>
        <w:spacing w:beforeLines="0" w:afterLines="0" w:line="360" w:lineRule="auto"/>
        <w:jc w:val="both"/>
        <w:outlineLvl w:val="0"/>
        <w:rPr>
          <w:rFonts w:ascii="Times New Roman" w:hAnsi="Times New Roman" w:cs="Helvetica"/>
          <w:i/>
          <w:sz w:val="24"/>
          <w:szCs w:val="26"/>
          <w:lang w:val="en-GB"/>
        </w:rPr>
      </w:pPr>
      <w:r w:rsidRPr="00224AF3">
        <w:rPr>
          <w:rFonts w:ascii="Times New Roman" w:hAnsi="Times New Roman" w:cs="Helvetica"/>
          <w:b/>
          <w:i/>
          <w:sz w:val="24"/>
          <w:szCs w:val="26"/>
          <w:lang w:val="en-GB"/>
        </w:rPr>
        <w:t>Weak governance structure</w:t>
      </w:r>
    </w:p>
    <w:p w:rsidR="001B5640" w:rsidRPr="00224AF3" w:rsidRDefault="000077BD" w:rsidP="00224AF3">
      <w:pPr>
        <w:pStyle w:val="NormalWeb"/>
        <w:spacing w:beforeLines="0" w:afterLines="0" w:line="360" w:lineRule="auto"/>
        <w:ind w:firstLine="720"/>
        <w:jc w:val="both"/>
        <w:rPr>
          <w:rFonts w:ascii="Times New Roman" w:hAnsi="Times New Roman" w:cs="Helvetica"/>
          <w:sz w:val="24"/>
          <w:szCs w:val="26"/>
        </w:rPr>
      </w:pPr>
      <w:r w:rsidRPr="00224AF3">
        <w:rPr>
          <w:rFonts w:ascii="Times New Roman" w:hAnsi="Times New Roman" w:cs="Helvetica"/>
          <w:sz w:val="24"/>
          <w:szCs w:val="26"/>
        </w:rPr>
        <w:t>The analysis of the consequential problems presented above suggests</w:t>
      </w:r>
      <w:r w:rsidR="001452A7" w:rsidRPr="00224AF3">
        <w:rPr>
          <w:rFonts w:ascii="Times New Roman" w:hAnsi="Times New Roman" w:cs="Helvetica"/>
          <w:sz w:val="24"/>
          <w:szCs w:val="26"/>
        </w:rPr>
        <w:t xml:space="preserve"> that one of the main causes for failure was the weak</w:t>
      </w:r>
      <w:r w:rsidR="003A73A4" w:rsidRPr="00224AF3">
        <w:rPr>
          <w:rFonts w:ascii="Times New Roman" w:hAnsi="Times New Roman" w:cs="Helvetica"/>
          <w:sz w:val="24"/>
          <w:szCs w:val="26"/>
        </w:rPr>
        <w:t xml:space="preserve"> and i</w:t>
      </w:r>
      <w:r w:rsidR="00AB4020" w:rsidRPr="00224AF3">
        <w:rPr>
          <w:rFonts w:ascii="Times New Roman" w:hAnsi="Times New Roman" w:cs="Helvetica"/>
          <w:sz w:val="24"/>
          <w:szCs w:val="26"/>
        </w:rPr>
        <w:t>neffective</w:t>
      </w:r>
      <w:r w:rsidR="001452A7" w:rsidRPr="00224AF3">
        <w:rPr>
          <w:rFonts w:ascii="Times New Roman" w:hAnsi="Times New Roman" w:cs="Helvetica"/>
          <w:sz w:val="24"/>
          <w:szCs w:val="26"/>
        </w:rPr>
        <w:t xml:space="preserve"> governance structure represented by the OMC.</w:t>
      </w:r>
      <w:r w:rsidR="008116C5" w:rsidRPr="00224AF3">
        <w:rPr>
          <w:rFonts w:ascii="Times New Roman" w:hAnsi="Times New Roman" w:cs="Helvetica"/>
          <w:sz w:val="24"/>
          <w:szCs w:val="26"/>
        </w:rPr>
        <w:t xml:space="preserve"> </w:t>
      </w:r>
      <w:r w:rsidR="00AB4020" w:rsidRPr="00224AF3">
        <w:rPr>
          <w:rFonts w:ascii="Times New Roman" w:hAnsi="Times New Roman" w:cs="Helvetica"/>
          <w:sz w:val="24"/>
          <w:szCs w:val="26"/>
        </w:rPr>
        <w:t xml:space="preserve">The rationale for selecting the ‘soft’ mode of governance over a centralized </w:t>
      </w:r>
      <w:r w:rsidR="00AB4020" w:rsidRPr="00224AF3">
        <w:rPr>
          <w:rFonts w:ascii="Times New Roman" w:hAnsi="Times New Roman" w:cs="Helvetica"/>
          <w:sz w:val="24"/>
          <w:szCs w:val="26"/>
        </w:rPr>
        <w:lastRenderedPageBreak/>
        <w:t>supranational method came out of recognition that the potentially affected policy areas are too sensit</w:t>
      </w:r>
      <w:r w:rsidR="008F3D5A" w:rsidRPr="00224AF3">
        <w:rPr>
          <w:rFonts w:ascii="Times New Roman" w:hAnsi="Times New Roman" w:cs="Helvetica"/>
          <w:sz w:val="24"/>
          <w:szCs w:val="26"/>
        </w:rPr>
        <w:t xml:space="preserve">ive for exposure to EU scrutiny (Scharpf 2002: 650-651). </w:t>
      </w:r>
      <w:r w:rsidR="004F48D5" w:rsidRPr="00224AF3">
        <w:rPr>
          <w:rFonts w:ascii="Times New Roman" w:hAnsi="Times New Roman" w:cs="Helvetica"/>
          <w:sz w:val="24"/>
          <w:szCs w:val="26"/>
        </w:rPr>
        <w:t>The aim of the OMC was then to find a middle ground between policy diversity and policy convergence by establishing a cognitive arena as a means for spreading the best practice, while still allowing Member States to maintain their own structural arrangements.</w:t>
      </w:r>
      <w:r w:rsidR="00F46F7C" w:rsidRPr="00224AF3">
        <w:rPr>
          <w:rFonts w:ascii="Times New Roman" w:hAnsi="Times New Roman" w:cs="Helvetica"/>
          <w:sz w:val="24"/>
          <w:szCs w:val="26"/>
        </w:rPr>
        <w:t xml:space="preserve"> </w:t>
      </w:r>
      <w:r w:rsidR="00E20A98" w:rsidRPr="00224AF3">
        <w:rPr>
          <w:rFonts w:ascii="Times New Roman" w:hAnsi="Times New Roman" w:cs="Helvetica"/>
          <w:sz w:val="24"/>
          <w:szCs w:val="26"/>
        </w:rPr>
        <w:t>Hence, there existed</w:t>
      </w:r>
      <w:r w:rsidR="00221950" w:rsidRPr="00224AF3">
        <w:rPr>
          <w:rFonts w:ascii="Times New Roman" w:hAnsi="Times New Roman" w:cs="Helvetica"/>
          <w:sz w:val="24"/>
          <w:szCs w:val="26"/>
        </w:rPr>
        <w:t xml:space="preserve"> no</w:t>
      </w:r>
      <w:r w:rsidR="00E20A98" w:rsidRPr="00224AF3">
        <w:rPr>
          <w:rFonts w:ascii="Times New Roman" w:hAnsi="Times New Roman" w:cs="Helvetica"/>
          <w:sz w:val="24"/>
          <w:szCs w:val="26"/>
        </w:rPr>
        <w:t xml:space="preserve"> institutional leadership to</w:t>
      </w:r>
      <w:r w:rsidR="00221950" w:rsidRPr="00224AF3">
        <w:rPr>
          <w:rFonts w:ascii="Times New Roman" w:hAnsi="Times New Roman" w:cs="Helvetica"/>
          <w:sz w:val="24"/>
          <w:szCs w:val="26"/>
        </w:rPr>
        <w:t xml:space="preserve"> monitor progress and stimulate engagement</w:t>
      </w:r>
      <w:r w:rsidR="009B0CE4" w:rsidRPr="00224AF3">
        <w:rPr>
          <w:rFonts w:ascii="Times New Roman" w:hAnsi="Times New Roman" w:cs="Helvetica"/>
          <w:sz w:val="24"/>
          <w:szCs w:val="26"/>
        </w:rPr>
        <w:t xml:space="preserve"> (Copeland 2012: </w:t>
      </w:r>
      <w:r w:rsidR="008F3D5A" w:rsidRPr="00224AF3">
        <w:rPr>
          <w:rFonts w:ascii="Times New Roman" w:hAnsi="Times New Roman" w:cs="Helvetica"/>
          <w:sz w:val="24"/>
          <w:szCs w:val="26"/>
        </w:rPr>
        <w:t>235).</w:t>
      </w:r>
      <w:r w:rsidR="000D09E9" w:rsidRPr="00224AF3">
        <w:rPr>
          <w:rFonts w:ascii="Times New Roman" w:hAnsi="Times New Roman" w:cs="Helvetica"/>
          <w:sz w:val="24"/>
          <w:szCs w:val="26"/>
        </w:rPr>
        <w:t xml:space="preserve"> Rather, the implementation of Strategy’s goals essentially depended on voluntarism and political support.</w:t>
      </w:r>
      <w:r w:rsidR="007C6F35" w:rsidRPr="00224AF3">
        <w:rPr>
          <w:rFonts w:ascii="Times New Roman" w:hAnsi="Times New Roman" w:cs="Helvetica"/>
          <w:sz w:val="24"/>
          <w:szCs w:val="26"/>
        </w:rPr>
        <w:t xml:space="preserve"> </w:t>
      </w:r>
      <w:r w:rsidR="00221950" w:rsidRPr="00224AF3">
        <w:rPr>
          <w:rFonts w:ascii="Times New Roman" w:hAnsi="Times New Roman" w:cs="Helvetica"/>
          <w:sz w:val="24"/>
          <w:szCs w:val="26"/>
        </w:rPr>
        <w:t>At the same time, there was no effective system of control mechanism to issue rulings or sanctions in order to enforce compliance</w:t>
      </w:r>
      <w:r w:rsidR="009B0CE4" w:rsidRPr="00224AF3">
        <w:rPr>
          <w:rFonts w:ascii="Times New Roman" w:hAnsi="Times New Roman" w:cs="Helvetica"/>
          <w:sz w:val="24"/>
          <w:szCs w:val="26"/>
        </w:rPr>
        <w:t xml:space="preserve"> (Borrás and Radaelli 2010: 32)</w:t>
      </w:r>
      <w:r w:rsidR="008F3D5A" w:rsidRPr="00224AF3">
        <w:rPr>
          <w:rFonts w:ascii="Times New Roman" w:hAnsi="Times New Roman" w:cs="Helvetica"/>
          <w:sz w:val="24"/>
          <w:szCs w:val="26"/>
        </w:rPr>
        <w:t>.</w:t>
      </w:r>
      <w:r w:rsidR="001B5640" w:rsidRPr="00224AF3">
        <w:rPr>
          <w:rFonts w:ascii="Times New Roman" w:hAnsi="Times New Roman" w:cs="Helvetica"/>
          <w:sz w:val="24"/>
          <w:szCs w:val="26"/>
        </w:rPr>
        <w:t xml:space="preserve"> The peer pressure</w:t>
      </w:r>
      <w:r w:rsidR="000D09E9" w:rsidRPr="00224AF3">
        <w:rPr>
          <w:rFonts w:ascii="Times New Roman" w:hAnsi="Times New Roman" w:cs="Helvetica"/>
          <w:sz w:val="24"/>
          <w:szCs w:val="26"/>
        </w:rPr>
        <w:t xml:space="preserve"> system was not living up to the</w:t>
      </w:r>
      <w:r w:rsidR="001B5640" w:rsidRPr="00224AF3">
        <w:rPr>
          <w:rFonts w:ascii="Times New Roman" w:hAnsi="Times New Roman" w:cs="Helvetica"/>
          <w:sz w:val="24"/>
          <w:szCs w:val="26"/>
        </w:rPr>
        <w:t xml:space="preserve"> purpose</w:t>
      </w:r>
      <w:r w:rsidR="000D09E9" w:rsidRPr="00224AF3">
        <w:rPr>
          <w:rFonts w:ascii="Times New Roman" w:hAnsi="Times New Roman" w:cs="Helvetica"/>
          <w:sz w:val="24"/>
          <w:szCs w:val="26"/>
        </w:rPr>
        <w:t xml:space="preserve"> of control mechanism simply because Member S</w:t>
      </w:r>
      <w:r w:rsidR="001B5640" w:rsidRPr="00224AF3">
        <w:rPr>
          <w:rFonts w:ascii="Times New Roman" w:hAnsi="Times New Roman" w:cs="Helvetica"/>
          <w:sz w:val="24"/>
          <w:szCs w:val="26"/>
        </w:rPr>
        <w:t>tates were not willing t</w:t>
      </w:r>
      <w:r w:rsidR="000D09E9" w:rsidRPr="00224AF3">
        <w:rPr>
          <w:rFonts w:ascii="Times New Roman" w:hAnsi="Times New Roman" w:cs="Helvetica"/>
          <w:sz w:val="24"/>
          <w:szCs w:val="26"/>
        </w:rPr>
        <w:t xml:space="preserve">o name and shame their peers in </w:t>
      </w:r>
      <w:r w:rsidR="001B5640" w:rsidRPr="00224AF3">
        <w:rPr>
          <w:rFonts w:ascii="Times New Roman" w:hAnsi="Times New Roman" w:cs="Helvetica"/>
          <w:sz w:val="24"/>
          <w:szCs w:val="26"/>
        </w:rPr>
        <w:t xml:space="preserve">fear to make themselves enemies. Logically, the incentive to engage in </w:t>
      </w:r>
      <w:r w:rsidR="000D09E9" w:rsidRPr="00224AF3">
        <w:rPr>
          <w:rFonts w:ascii="Times New Roman" w:hAnsi="Times New Roman" w:cs="Helvetica"/>
          <w:sz w:val="24"/>
          <w:szCs w:val="26"/>
        </w:rPr>
        <w:t xml:space="preserve">peer pressure is low as the overall agenda encompasses multiple policy areas. </w:t>
      </w:r>
      <w:r w:rsidR="00FA22C8" w:rsidRPr="00224AF3">
        <w:rPr>
          <w:rFonts w:ascii="Times New Roman" w:hAnsi="Times New Roman" w:cs="Helvetica"/>
          <w:sz w:val="24"/>
          <w:szCs w:val="26"/>
        </w:rPr>
        <w:t>In other words, n</w:t>
      </w:r>
      <w:r w:rsidR="000D09E9" w:rsidRPr="00224AF3">
        <w:rPr>
          <w:rFonts w:ascii="Times New Roman" w:hAnsi="Times New Roman" w:cs="Helvetica"/>
          <w:sz w:val="24"/>
          <w:szCs w:val="26"/>
        </w:rPr>
        <w:t xml:space="preserve">aming and shaming by a Member State in a policy area where it has progressed rapidly contains a danger of being named and shamed by other Member States in </w:t>
      </w:r>
      <w:r w:rsidR="00224AF3" w:rsidRPr="00224AF3">
        <w:rPr>
          <w:rFonts w:ascii="Times New Roman" w:hAnsi="Times New Roman" w:cs="Helvetica"/>
          <w:sz w:val="24"/>
          <w:szCs w:val="26"/>
        </w:rPr>
        <w:t xml:space="preserve">a </w:t>
      </w:r>
      <w:r w:rsidR="000D09E9" w:rsidRPr="00224AF3">
        <w:rPr>
          <w:rFonts w:ascii="Times New Roman" w:hAnsi="Times New Roman" w:cs="Helvetica"/>
          <w:sz w:val="24"/>
          <w:szCs w:val="26"/>
        </w:rPr>
        <w:t xml:space="preserve">policy area where it has progressed slowly (Collignon et al. 2005: 9). </w:t>
      </w:r>
      <w:r w:rsidR="00FA22C8" w:rsidRPr="00224AF3">
        <w:rPr>
          <w:rFonts w:ascii="Times New Roman" w:hAnsi="Times New Roman" w:cs="Helvetica"/>
          <w:sz w:val="24"/>
          <w:szCs w:val="26"/>
        </w:rPr>
        <w:t>It thus seems almost i</w:t>
      </w:r>
      <w:r w:rsidR="009569DB" w:rsidRPr="00224AF3">
        <w:rPr>
          <w:rFonts w:ascii="Times New Roman" w:hAnsi="Times New Roman" w:cs="Helvetica"/>
          <w:sz w:val="24"/>
          <w:szCs w:val="26"/>
        </w:rPr>
        <w:t>mpudent</w:t>
      </w:r>
      <w:r w:rsidR="00FA22C8" w:rsidRPr="00224AF3">
        <w:rPr>
          <w:rFonts w:ascii="Times New Roman" w:hAnsi="Times New Roman" w:cs="Helvetica"/>
          <w:sz w:val="24"/>
          <w:szCs w:val="26"/>
        </w:rPr>
        <w:t xml:space="preserve"> for a Mem</w:t>
      </w:r>
      <w:r w:rsidR="009569DB" w:rsidRPr="00224AF3">
        <w:rPr>
          <w:rFonts w:ascii="Times New Roman" w:hAnsi="Times New Roman" w:cs="Helvetica"/>
          <w:sz w:val="24"/>
          <w:szCs w:val="26"/>
        </w:rPr>
        <w:t xml:space="preserve">ber State to assume the disciplinary role if it itself exhibits inadequacies across multiple policy areas. Given the inability of </w:t>
      </w:r>
      <w:r w:rsidR="00224AF3" w:rsidRPr="00224AF3">
        <w:rPr>
          <w:rFonts w:ascii="Times New Roman" w:hAnsi="Times New Roman" w:cs="Helvetica"/>
          <w:sz w:val="24"/>
          <w:szCs w:val="26"/>
        </w:rPr>
        <w:t xml:space="preserve">the </w:t>
      </w:r>
      <w:r w:rsidR="009569DB" w:rsidRPr="00224AF3">
        <w:rPr>
          <w:rFonts w:ascii="Times New Roman" w:hAnsi="Times New Roman" w:cs="Helvetica"/>
          <w:sz w:val="24"/>
          <w:szCs w:val="26"/>
        </w:rPr>
        <w:t xml:space="preserve">Member States to pool sovereignty and allow supranational institutions to oversee the implementation, </w:t>
      </w:r>
      <w:r w:rsidR="000D09E9" w:rsidRPr="00224AF3">
        <w:rPr>
          <w:rFonts w:ascii="Times New Roman" w:hAnsi="Times New Roman" w:cs="Helvetica"/>
          <w:sz w:val="24"/>
          <w:szCs w:val="26"/>
        </w:rPr>
        <w:t xml:space="preserve">it is perhaps of little surprise that </w:t>
      </w:r>
      <w:r w:rsidR="009569DB" w:rsidRPr="00224AF3">
        <w:rPr>
          <w:rFonts w:ascii="Times New Roman" w:hAnsi="Times New Roman" w:cs="Helvetica"/>
          <w:sz w:val="24"/>
          <w:szCs w:val="26"/>
        </w:rPr>
        <w:t>achieving the benchmarks has been problematic (Copeland 2012: 235).</w:t>
      </w:r>
    </w:p>
    <w:p w:rsidR="007C6F35" w:rsidRPr="00224AF3" w:rsidRDefault="00FE76A8" w:rsidP="00AE1D52">
      <w:pPr>
        <w:pStyle w:val="NormalWeb"/>
        <w:spacing w:beforeLines="0" w:afterLines="0" w:line="360" w:lineRule="auto"/>
        <w:jc w:val="both"/>
        <w:outlineLvl w:val="0"/>
        <w:rPr>
          <w:rFonts w:ascii="Times New Roman" w:hAnsi="Times New Roman" w:cs="Helvetica"/>
          <w:b/>
          <w:sz w:val="24"/>
          <w:szCs w:val="26"/>
          <w:lang w:val="en-GB"/>
        </w:rPr>
      </w:pPr>
      <w:r w:rsidRPr="00224AF3">
        <w:rPr>
          <w:rFonts w:ascii="Times New Roman" w:hAnsi="Times New Roman" w:cs="Helvetica"/>
          <w:b/>
          <w:i/>
          <w:sz w:val="24"/>
          <w:szCs w:val="26"/>
          <w:lang w:val="en-GB"/>
        </w:rPr>
        <w:t xml:space="preserve">Shifting </w:t>
      </w:r>
      <w:r w:rsidR="004C5A56" w:rsidRPr="00224AF3">
        <w:rPr>
          <w:rFonts w:ascii="Times New Roman" w:hAnsi="Times New Roman" w:cs="Helvetica"/>
          <w:b/>
          <w:i/>
          <w:sz w:val="24"/>
          <w:szCs w:val="26"/>
          <w:lang w:val="en-GB"/>
        </w:rPr>
        <w:t>priorities</w:t>
      </w:r>
    </w:p>
    <w:p w:rsidR="001C46A7" w:rsidRPr="00224AF3" w:rsidRDefault="007C6F35" w:rsidP="00224AF3">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The second major problem in the pursui</w:t>
      </w:r>
      <w:r w:rsidR="001F75A3" w:rsidRPr="00224AF3">
        <w:rPr>
          <w:rFonts w:ascii="Times New Roman" w:hAnsi="Times New Roman" w:cs="Helvetica"/>
          <w:sz w:val="24"/>
          <w:szCs w:val="26"/>
          <w:lang w:val="en-GB"/>
        </w:rPr>
        <w:t>t of the Lisbon Strategy was the</w:t>
      </w:r>
      <w:r w:rsidRPr="00224AF3">
        <w:rPr>
          <w:rFonts w:ascii="Times New Roman" w:hAnsi="Times New Roman" w:cs="Helvetica"/>
          <w:sz w:val="24"/>
          <w:szCs w:val="26"/>
          <w:lang w:val="en-GB"/>
        </w:rPr>
        <w:t xml:space="preserve"> uns</w:t>
      </w:r>
      <w:r w:rsidR="005D3DE3" w:rsidRPr="00224AF3">
        <w:rPr>
          <w:rFonts w:ascii="Times New Roman" w:hAnsi="Times New Roman" w:cs="Helvetica"/>
          <w:sz w:val="24"/>
          <w:szCs w:val="26"/>
          <w:lang w:val="en-GB"/>
        </w:rPr>
        <w:t xml:space="preserve">table nature of objectives set. </w:t>
      </w:r>
      <w:r w:rsidR="006C4901" w:rsidRPr="00224AF3">
        <w:rPr>
          <w:rFonts w:ascii="Times New Roman" w:hAnsi="Times New Roman" w:cs="Helvetica"/>
          <w:sz w:val="24"/>
          <w:szCs w:val="26"/>
          <w:lang w:val="en-GB"/>
        </w:rPr>
        <w:t xml:space="preserve">The priorities of the Strategy fluctuated over time, </w:t>
      </w:r>
      <w:r w:rsidR="004C5A56" w:rsidRPr="00224AF3">
        <w:rPr>
          <w:rFonts w:ascii="Times New Roman" w:hAnsi="Times New Roman" w:cs="Helvetica"/>
          <w:sz w:val="24"/>
          <w:szCs w:val="26"/>
          <w:lang w:val="en-GB"/>
        </w:rPr>
        <w:t xml:space="preserve">most notably with the inclusion of environmental dimension at the Gothenburg European Council summit in 2001 and </w:t>
      </w:r>
      <w:r w:rsidR="00301523" w:rsidRPr="00224AF3">
        <w:rPr>
          <w:rFonts w:ascii="Times New Roman" w:hAnsi="Times New Roman" w:cs="Helvetica"/>
          <w:sz w:val="24"/>
          <w:szCs w:val="26"/>
          <w:lang w:val="en-GB"/>
        </w:rPr>
        <w:t xml:space="preserve">later with </w:t>
      </w:r>
      <w:r w:rsidR="004C5A56" w:rsidRPr="00224AF3">
        <w:rPr>
          <w:rFonts w:ascii="Times New Roman" w:hAnsi="Times New Roman" w:cs="Helvetica"/>
          <w:sz w:val="24"/>
          <w:szCs w:val="26"/>
          <w:lang w:val="en-GB"/>
        </w:rPr>
        <w:t>the re-launch of the</w:t>
      </w:r>
      <w:r w:rsidR="00301523" w:rsidRPr="00224AF3">
        <w:rPr>
          <w:rFonts w:ascii="Times New Roman" w:hAnsi="Times New Roman" w:cs="Helvetica"/>
          <w:sz w:val="24"/>
          <w:szCs w:val="26"/>
          <w:lang w:val="en-GB"/>
        </w:rPr>
        <w:t xml:space="preserve"> whole</w:t>
      </w:r>
      <w:r w:rsidR="004C5A56" w:rsidRPr="00224AF3">
        <w:rPr>
          <w:rFonts w:ascii="Times New Roman" w:hAnsi="Times New Roman" w:cs="Helvetica"/>
          <w:sz w:val="24"/>
          <w:szCs w:val="26"/>
          <w:lang w:val="en-GB"/>
        </w:rPr>
        <w:t xml:space="preserve"> programme </w:t>
      </w:r>
      <w:r w:rsidR="00301523" w:rsidRPr="00224AF3">
        <w:rPr>
          <w:rFonts w:ascii="Times New Roman" w:hAnsi="Times New Roman" w:cs="Helvetica"/>
          <w:sz w:val="24"/>
          <w:szCs w:val="26"/>
          <w:lang w:val="en-GB"/>
        </w:rPr>
        <w:t xml:space="preserve">in 2005 </w:t>
      </w:r>
      <w:r w:rsidR="004C5A56" w:rsidRPr="00224AF3">
        <w:rPr>
          <w:rFonts w:ascii="Times New Roman" w:hAnsi="Times New Roman" w:cs="Helvetica"/>
          <w:sz w:val="24"/>
          <w:szCs w:val="26"/>
          <w:lang w:val="en-GB"/>
        </w:rPr>
        <w:t xml:space="preserve">under the brand new label ‘Growth and Jobs’ (Bulmer 2012: 36). </w:t>
      </w:r>
      <w:r w:rsidRPr="00224AF3">
        <w:rPr>
          <w:rFonts w:ascii="Times New Roman" w:hAnsi="Times New Roman" w:cs="Helvetica"/>
          <w:sz w:val="24"/>
          <w:szCs w:val="26"/>
          <w:lang w:val="en-GB"/>
        </w:rPr>
        <w:t xml:space="preserve">As Copeland (2012: 233) </w:t>
      </w:r>
      <w:r w:rsidR="001F75A3" w:rsidRPr="00224AF3">
        <w:rPr>
          <w:rFonts w:ascii="Times New Roman" w:hAnsi="Times New Roman" w:cs="Helvetica"/>
          <w:sz w:val="24"/>
          <w:szCs w:val="26"/>
          <w:lang w:val="en-GB"/>
        </w:rPr>
        <w:t>points out, the re</w:t>
      </w:r>
      <w:r w:rsidR="00301523" w:rsidRPr="00224AF3">
        <w:rPr>
          <w:rFonts w:ascii="Times New Roman" w:hAnsi="Times New Roman" w:cs="Helvetica"/>
          <w:sz w:val="24"/>
          <w:szCs w:val="26"/>
          <w:lang w:val="en-GB"/>
        </w:rPr>
        <w:t>-</w:t>
      </w:r>
      <w:r w:rsidR="001F75A3" w:rsidRPr="00224AF3">
        <w:rPr>
          <w:rFonts w:ascii="Times New Roman" w:hAnsi="Times New Roman" w:cs="Helvetica"/>
          <w:sz w:val="24"/>
          <w:szCs w:val="26"/>
          <w:lang w:val="en-GB"/>
        </w:rPr>
        <w:t>launch</w:t>
      </w:r>
      <w:r w:rsidR="004C5A56" w:rsidRPr="00224AF3">
        <w:rPr>
          <w:rFonts w:ascii="Times New Roman" w:hAnsi="Times New Roman" w:cs="Helvetica"/>
          <w:sz w:val="24"/>
          <w:szCs w:val="26"/>
          <w:lang w:val="en-GB"/>
        </w:rPr>
        <w:t>, in particular,</w:t>
      </w:r>
      <w:r w:rsidRPr="00224AF3">
        <w:rPr>
          <w:rFonts w:ascii="Times New Roman" w:hAnsi="Times New Roman" w:cs="Helvetica"/>
          <w:sz w:val="24"/>
          <w:szCs w:val="26"/>
          <w:lang w:val="en-GB"/>
        </w:rPr>
        <w:t xml:space="preserve"> </w:t>
      </w:r>
      <w:r w:rsidR="001F75A3" w:rsidRPr="00224AF3">
        <w:rPr>
          <w:rFonts w:ascii="Times New Roman" w:hAnsi="Times New Roman" w:cs="Helvetica"/>
          <w:sz w:val="24"/>
          <w:szCs w:val="26"/>
          <w:lang w:val="en-GB"/>
        </w:rPr>
        <w:t xml:space="preserve">meant that the Strategy </w:t>
      </w:r>
      <w:r w:rsidR="00A125E1" w:rsidRPr="00224AF3">
        <w:rPr>
          <w:rFonts w:ascii="Times New Roman" w:hAnsi="Times New Roman" w:cs="Helvetica"/>
          <w:sz w:val="24"/>
          <w:szCs w:val="26"/>
          <w:lang w:val="en-GB"/>
        </w:rPr>
        <w:t>changed</w:t>
      </w:r>
      <w:r w:rsidR="005D3DE3" w:rsidRPr="00224AF3">
        <w:rPr>
          <w:rFonts w:ascii="Times New Roman" w:hAnsi="Times New Roman" w:cs="Helvetica"/>
          <w:sz w:val="24"/>
          <w:szCs w:val="26"/>
          <w:lang w:val="en-GB"/>
        </w:rPr>
        <w:t xml:space="preserve"> its aim from one in which economic growth was to be </w:t>
      </w:r>
      <w:r w:rsidR="00A125E1" w:rsidRPr="00224AF3">
        <w:rPr>
          <w:rFonts w:ascii="Times New Roman" w:hAnsi="Times New Roman" w:cs="Helvetica"/>
          <w:sz w:val="24"/>
          <w:szCs w:val="26"/>
          <w:lang w:val="en-GB"/>
        </w:rPr>
        <w:t>balanced</w:t>
      </w:r>
      <w:r w:rsidR="005D3DE3" w:rsidRPr="00224AF3">
        <w:rPr>
          <w:rFonts w:ascii="Times New Roman" w:hAnsi="Times New Roman" w:cs="Helvetica"/>
          <w:sz w:val="24"/>
          <w:szCs w:val="26"/>
          <w:lang w:val="en-GB"/>
        </w:rPr>
        <w:t xml:space="preserve"> with social cohesion to one in which economic growth was to create social cohesion.</w:t>
      </w:r>
      <w:r w:rsidR="006C4901" w:rsidRPr="00224AF3">
        <w:rPr>
          <w:rFonts w:ascii="Times New Roman" w:hAnsi="Times New Roman" w:cs="Helvetica"/>
          <w:sz w:val="24"/>
          <w:szCs w:val="26"/>
          <w:lang w:val="en-GB"/>
        </w:rPr>
        <w:t xml:space="preserve"> </w:t>
      </w:r>
      <w:r w:rsidR="00301523" w:rsidRPr="00224AF3">
        <w:rPr>
          <w:rFonts w:ascii="Times New Roman" w:hAnsi="Times New Roman" w:cs="Helvetica"/>
          <w:sz w:val="24"/>
          <w:szCs w:val="26"/>
          <w:lang w:val="en-GB"/>
        </w:rPr>
        <w:t>This</w:t>
      </w:r>
      <w:r w:rsidR="005D3DE3" w:rsidRPr="00224AF3">
        <w:rPr>
          <w:rFonts w:ascii="Times New Roman" w:hAnsi="Times New Roman" w:cs="Helvetica"/>
          <w:sz w:val="24"/>
          <w:szCs w:val="26"/>
          <w:lang w:val="en-GB"/>
        </w:rPr>
        <w:t xml:space="preserve"> radical </w:t>
      </w:r>
      <w:r w:rsidR="00A125E1" w:rsidRPr="00224AF3">
        <w:rPr>
          <w:rFonts w:ascii="Times New Roman" w:hAnsi="Times New Roman" w:cs="Helvetica"/>
          <w:sz w:val="24"/>
          <w:szCs w:val="26"/>
          <w:lang w:val="en-GB"/>
        </w:rPr>
        <w:t>shift</w:t>
      </w:r>
      <w:r w:rsidR="005D3DE3" w:rsidRPr="00224AF3">
        <w:rPr>
          <w:rFonts w:ascii="Times New Roman" w:hAnsi="Times New Roman" w:cs="Helvetica"/>
          <w:sz w:val="24"/>
          <w:szCs w:val="26"/>
          <w:lang w:val="en-GB"/>
        </w:rPr>
        <w:t xml:space="preserve"> from centre-left to centre-right ideology became the source </w:t>
      </w:r>
      <w:r w:rsidR="006C4901" w:rsidRPr="00224AF3">
        <w:rPr>
          <w:rFonts w:ascii="Times New Roman" w:hAnsi="Times New Roman" w:cs="Helvetica"/>
          <w:sz w:val="24"/>
          <w:szCs w:val="26"/>
          <w:lang w:val="en-GB"/>
        </w:rPr>
        <w:t>of much ambiguity, undermining the consistency of the Strategy’s long-term holistic perspective.</w:t>
      </w:r>
      <w:r w:rsidR="00A125E1" w:rsidRPr="00224AF3">
        <w:rPr>
          <w:rFonts w:ascii="Times New Roman" w:hAnsi="Times New Roman" w:cs="Helvetica"/>
          <w:sz w:val="24"/>
          <w:szCs w:val="26"/>
          <w:lang w:val="en-GB"/>
        </w:rPr>
        <w:t xml:space="preserve"> Essentially, the disruption in the course did not suit </w:t>
      </w:r>
      <w:r w:rsidR="00224AF3" w:rsidRPr="00224AF3">
        <w:rPr>
          <w:rFonts w:ascii="Times New Roman" w:hAnsi="Times New Roman" w:cs="Helvetica"/>
          <w:sz w:val="24"/>
          <w:szCs w:val="26"/>
          <w:lang w:val="en-GB"/>
        </w:rPr>
        <w:t xml:space="preserve">a </w:t>
      </w:r>
      <w:r w:rsidR="00A125E1" w:rsidRPr="00224AF3">
        <w:rPr>
          <w:rFonts w:ascii="Times New Roman" w:hAnsi="Times New Roman" w:cs="Helvetica"/>
          <w:sz w:val="24"/>
          <w:szCs w:val="26"/>
          <w:lang w:val="en-GB"/>
        </w:rPr>
        <w:t>broader</w:t>
      </w:r>
      <w:r w:rsidR="00224AF3" w:rsidRPr="00224AF3">
        <w:rPr>
          <w:rFonts w:ascii="Times New Roman" w:hAnsi="Times New Roman" w:cs="Helvetica"/>
          <w:sz w:val="24"/>
          <w:szCs w:val="26"/>
          <w:lang w:val="en-GB"/>
        </w:rPr>
        <w:t xml:space="preserve"> set of stakeholders such as</w:t>
      </w:r>
      <w:r w:rsidR="00A125E1" w:rsidRPr="00224AF3">
        <w:rPr>
          <w:rFonts w:ascii="Times New Roman" w:hAnsi="Times New Roman" w:cs="Helvetica"/>
          <w:sz w:val="24"/>
          <w:szCs w:val="26"/>
          <w:lang w:val="en-GB"/>
        </w:rPr>
        <w:t xml:space="preserve"> social NGOs and trade unions. For instance, the European Trade Union Confederation (ETUC) detached itself from the Strategy’s direction, as it disagreed with “essential social and environmental objectives </w:t>
      </w:r>
      <w:r w:rsidR="00A125E1" w:rsidRPr="00224AF3">
        <w:rPr>
          <w:rFonts w:ascii="Times New Roman" w:hAnsi="Times New Roman" w:cs="Helvetica"/>
          <w:sz w:val="24"/>
          <w:szCs w:val="26"/>
          <w:lang w:val="en-GB"/>
        </w:rPr>
        <w:lastRenderedPageBreak/>
        <w:t>being sacrificed to short-term economic demands” (ETUC 2012). The disconnection of ETUC also reflected Strategy’s weakening ability to maintain suppo</w:t>
      </w:r>
      <w:r w:rsidR="00815302" w:rsidRPr="00224AF3">
        <w:rPr>
          <w:rFonts w:ascii="Times New Roman" w:hAnsi="Times New Roman" w:cs="Helvetica"/>
          <w:sz w:val="24"/>
          <w:szCs w:val="26"/>
          <w:lang w:val="en-GB"/>
        </w:rPr>
        <w:t>rt for momentum behind its direction</w:t>
      </w:r>
      <w:r w:rsidR="00A125E1" w:rsidRPr="00224AF3">
        <w:rPr>
          <w:rFonts w:ascii="Times New Roman" w:hAnsi="Times New Roman" w:cs="Helvetica"/>
          <w:sz w:val="24"/>
          <w:szCs w:val="26"/>
          <w:lang w:val="en-GB"/>
        </w:rPr>
        <w:t xml:space="preserve"> at both governmental and societal levels (Copeland 2012: 233). </w:t>
      </w:r>
      <w:r w:rsidR="00815302" w:rsidRPr="00224AF3">
        <w:rPr>
          <w:rFonts w:ascii="Times New Roman" w:hAnsi="Times New Roman" w:cs="Helvetica"/>
          <w:sz w:val="24"/>
          <w:szCs w:val="26"/>
          <w:lang w:val="en-GB"/>
        </w:rPr>
        <w:t>This experience thus stands in stark contrast with the well-crafted coalition-building that came to be a key factor for the completion of the Single European Market project in 1992 (Copeland 2012: 234).</w:t>
      </w:r>
    </w:p>
    <w:p w:rsidR="00321377" w:rsidRPr="00224AF3" w:rsidRDefault="00377C34" w:rsidP="00AE1D52">
      <w:pPr>
        <w:pStyle w:val="NormalWeb"/>
        <w:spacing w:beforeLines="0" w:afterLines="0" w:line="360" w:lineRule="auto"/>
        <w:jc w:val="both"/>
        <w:outlineLvl w:val="0"/>
        <w:rPr>
          <w:rFonts w:ascii="Times New Roman" w:hAnsi="Times New Roman" w:cs="Helvetica"/>
          <w:b/>
          <w:sz w:val="24"/>
          <w:szCs w:val="26"/>
          <w:lang w:val="en-GB"/>
        </w:rPr>
      </w:pPr>
      <w:r w:rsidRPr="00224AF3">
        <w:rPr>
          <w:rFonts w:ascii="Times New Roman" w:hAnsi="Times New Roman" w:cs="Helvetica"/>
          <w:b/>
          <w:sz w:val="24"/>
          <w:szCs w:val="26"/>
          <w:lang w:val="en-GB"/>
        </w:rPr>
        <w:t xml:space="preserve">C) </w:t>
      </w:r>
      <w:r w:rsidR="005F5AA1" w:rsidRPr="00224AF3">
        <w:rPr>
          <w:rFonts w:ascii="Times New Roman" w:hAnsi="Times New Roman" w:cs="Helvetica"/>
          <w:b/>
          <w:sz w:val="24"/>
          <w:szCs w:val="26"/>
          <w:lang w:val="en-GB"/>
        </w:rPr>
        <w:t>Policy Learning</w:t>
      </w:r>
      <w:r w:rsidR="00A702DA" w:rsidRPr="00224AF3">
        <w:rPr>
          <w:rFonts w:ascii="Times New Roman" w:hAnsi="Times New Roman" w:cs="Helvetica"/>
          <w:b/>
          <w:sz w:val="24"/>
          <w:szCs w:val="26"/>
          <w:lang w:val="en-GB"/>
        </w:rPr>
        <w:t xml:space="preserve">: A </w:t>
      </w:r>
      <w:r w:rsidR="00A100E6" w:rsidRPr="00224AF3">
        <w:rPr>
          <w:rFonts w:ascii="Times New Roman" w:hAnsi="Times New Roman" w:cs="Helvetica"/>
          <w:b/>
          <w:sz w:val="24"/>
          <w:szCs w:val="26"/>
          <w:lang w:val="en-GB"/>
        </w:rPr>
        <w:t>Dubious</w:t>
      </w:r>
      <w:r w:rsidR="00AD694F" w:rsidRPr="00224AF3">
        <w:rPr>
          <w:rFonts w:ascii="Times New Roman" w:hAnsi="Times New Roman" w:cs="Helvetica"/>
          <w:b/>
          <w:sz w:val="24"/>
          <w:szCs w:val="26"/>
          <w:lang w:val="en-GB"/>
        </w:rPr>
        <w:t xml:space="preserve"> Success?</w:t>
      </w:r>
    </w:p>
    <w:p w:rsidR="00B63740" w:rsidRPr="00224AF3" w:rsidRDefault="00161F1E" w:rsidP="001A7F58">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 xml:space="preserve">In spite of the </w:t>
      </w:r>
      <w:r w:rsidR="003E5C76" w:rsidRPr="00224AF3">
        <w:rPr>
          <w:rFonts w:ascii="Times New Roman" w:hAnsi="Times New Roman" w:cs="Helvetica"/>
          <w:sz w:val="24"/>
          <w:szCs w:val="26"/>
          <w:lang w:val="en-GB"/>
        </w:rPr>
        <w:t>widely held view</w:t>
      </w:r>
      <w:r w:rsidR="00D71CC1" w:rsidRPr="00224AF3">
        <w:rPr>
          <w:rFonts w:ascii="Times New Roman" w:hAnsi="Times New Roman" w:cs="Helvetica"/>
          <w:sz w:val="24"/>
          <w:szCs w:val="26"/>
          <w:lang w:val="en-GB"/>
        </w:rPr>
        <w:t xml:space="preserve"> that the Lisbon Strategy is a story of</w:t>
      </w:r>
      <w:r w:rsidR="003E5C76" w:rsidRPr="00224AF3">
        <w:rPr>
          <w:rFonts w:ascii="Times New Roman" w:hAnsi="Times New Roman" w:cs="Helvetica"/>
          <w:sz w:val="24"/>
          <w:szCs w:val="26"/>
          <w:lang w:val="en-GB"/>
        </w:rPr>
        <w:t xml:space="preserve"> failure, a considerable bulk of literature tends to </w:t>
      </w:r>
      <w:r w:rsidR="00E53037" w:rsidRPr="00224AF3">
        <w:rPr>
          <w:rFonts w:ascii="Times New Roman" w:hAnsi="Times New Roman" w:cs="Helvetica"/>
          <w:sz w:val="24"/>
          <w:szCs w:val="26"/>
          <w:lang w:val="en-GB"/>
        </w:rPr>
        <w:t xml:space="preserve">acknowledge some positive aspects of the programme. </w:t>
      </w:r>
      <w:r w:rsidR="00A6614A" w:rsidRPr="00224AF3">
        <w:rPr>
          <w:rFonts w:ascii="Times New Roman" w:hAnsi="Times New Roman" w:cs="Helvetica"/>
          <w:sz w:val="24"/>
          <w:szCs w:val="26"/>
          <w:lang w:val="en-GB"/>
        </w:rPr>
        <w:t>P</w:t>
      </w:r>
      <w:r w:rsidR="00912DC1" w:rsidRPr="00224AF3">
        <w:rPr>
          <w:rFonts w:ascii="Times New Roman" w:hAnsi="Times New Roman" w:cs="Helvetica"/>
          <w:sz w:val="24"/>
          <w:szCs w:val="26"/>
          <w:lang w:val="en-GB"/>
        </w:rPr>
        <w:t>erhaps the most p</w:t>
      </w:r>
      <w:r w:rsidR="00E53037" w:rsidRPr="00224AF3">
        <w:rPr>
          <w:rFonts w:ascii="Times New Roman" w:hAnsi="Times New Roman" w:cs="Helvetica"/>
          <w:sz w:val="24"/>
          <w:szCs w:val="26"/>
          <w:lang w:val="en-GB"/>
        </w:rPr>
        <w:t>rominent</w:t>
      </w:r>
      <w:r w:rsidR="00912DC1" w:rsidRPr="00224AF3">
        <w:rPr>
          <w:rFonts w:ascii="Times New Roman" w:hAnsi="Times New Roman" w:cs="Helvetica"/>
          <w:sz w:val="24"/>
          <w:szCs w:val="26"/>
          <w:lang w:val="en-GB"/>
        </w:rPr>
        <w:t xml:space="preserve"> </w:t>
      </w:r>
      <w:r w:rsidR="00E53037" w:rsidRPr="00224AF3">
        <w:rPr>
          <w:rFonts w:ascii="Times New Roman" w:hAnsi="Times New Roman" w:cs="Helvetica"/>
          <w:sz w:val="24"/>
          <w:szCs w:val="26"/>
          <w:lang w:val="en-GB"/>
        </w:rPr>
        <w:t>one relates to</w:t>
      </w:r>
      <w:r w:rsidR="00C35D88" w:rsidRPr="00224AF3">
        <w:rPr>
          <w:rFonts w:ascii="Times New Roman" w:hAnsi="Times New Roman" w:cs="Helvetica"/>
          <w:sz w:val="24"/>
          <w:szCs w:val="26"/>
          <w:lang w:val="en-GB"/>
        </w:rPr>
        <w:t xml:space="preserve"> </w:t>
      </w:r>
      <w:r w:rsidR="00E53037" w:rsidRPr="00224AF3">
        <w:rPr>
          <w:rFonts w:ascii="Times New Roman" w:hAnsi="Times New Roman" w:cs="Helvetica"/>
          <w:sz w:val="24"/>
          <w:szCs w:val="26"/>
          <w:lang w:val="en-GB"/>
        </w:rPr>
        <w:t>OMC’s</w:t>
      </w:r>
      <w:r w:rsidR="00A6614A" w:rsidRPr="00224AF3">
        <w:rPr>
          <w:rFonts w:ascii="Times New Roman" w:hAnsi="Times New Roman" w:cs="Helvetica"/>
          <w:sz w:val="24"/>
          <w:szCs w:val="26"/>
          <w:lang w:val="en-GB"/>
        </w:rPr>
        <w:t xml:space="preserve"> </w:t>
      </w:r>
      <w:r w:rsidR="008748B7" w:rsidRPr="00224AF3">
        <w:rPr>
          <w:rFonts w:ascii="Times New Roman" w:hAnsi="Times New Roman" w:cs="Helvetica"/>
          <w:sz w:val="24"/>
          <w:szCs w:val="26"/>
          <w:lang w:val="en-GB"/>
        </w:rPr>
        <w:t>capacity of</w:t>
      </w:r>
      <w:r w:rsidR="00EA0A43" w:rsidRPr="00224AF3">
        <w:rPr>
          <w:rFonts w:ascii="Times New Roman" w:hAnsi="Times New Roman" w:cs="Helvetica"/>
          <w:sz w:val="24"/>
          <w:szCs w:val="26"/>
          <w:lang w:val="en-GB"/>
        </w:rPr>
        <w:t xml:space="preserve"> promoting</w:t>
      </w:r>
      <w:r w:rsidR="00B269E5" w:rsidRPr="00224AF3">
        <w:rPr>
          <w:rFonts w:ascii="Times New Roman" w:hAnsi="Times New Roman" w:cs="Helvetica"/>
          <w:sz w:val="24"/>
          <w:szCs w:val="26"/>
          <w:lang w:val="en-GB"/>
        </w:rPr>
        <w:t xml:space="preserve"> </w:t>
      </w:r>
      <w:r w:rsidR="00224AF3" w:rsidRPr="00224AF3">
        <w:rPr>
          <w:rFonts w:ascii="Times New Roman" w:hAnsi="Times New Roman" w:cs="Helvetica"/>
          <w:sz w:val="24"/>
          <w:szCs w:val="26"/>
          <w:lang w:val="en-GB"/>
        </w:rPr>
        <w:t xml:space="preserve">an </w:t>
      </w:r>
      <w:r w:rsidR="00B269E5" w:rsidRPr="00224AF3">
        <w:rPr>
          <w:rFonts w:ascii="Times New Roman" w:hAnsi="Times New Roman" w:cs="Helvetica"/>
          <w:sz w:val="24"/>
          <w:szCs w:val="26"/>
          <w:lang w:val="en-GB"/>
        </w:rPr>
        <w:t>environment for</w:t>
      </w:r>
      <w:r w:rsidR="00A6614A" w:rsidRPr="00224AF3">
        <w:rPr>
          <w:rFonts w:ascii="Times New Roman" w:hAnsi="Times New Roman" w:cs="Helvetica"/>
          <w:sz w:val="24"/>
          <w:szCs w:val="26"/>
          <w:lang w:val="en-GB"/>
        </w:rPr>
        <w:t xml:space="preserve"> </w:t>
      </w:r>
      <w:r w:rsidR="00EA0A43" w:rsidRPr="00224AF3">
        <w:rPr>
          <w:rFonts w:ascii="Times New Roman" w:hAnsi="Times New Roman" w:cs="Helvetica"/>
          <w:sz w:val="24"/>
          <w:szCs w:val="26"/>
          <w:lang w:val="en-GB"/>
        </w:rPr>
        <w:t>mutual learning and deliberative problem-solving</w:t>
      </w:r>
      <w:r w:rsidR="00B269E5" w:rsidRPr="00224AF3">
        <w:rPr>
          <w:rFonts w:ascii="Times New Roman" w:hAnsi="Times New Roman" w:cs="Helvetica"/>
          <w:sz w:val="24"/>
          <w:szCs w:val="26"/>
          <w:lang w:val="en-GB"/>
        </w:rPr>
        <w:t>.</w:t>
      </w:r>
      <w:r w:rsidR="007C384A" w:rsidRPr="00224AF3">
        <w:rPr>
          <w:rFonts w:ascii="Times New Roman" w:hAnsi="Times New Roman" w:cs="Helvetica"/>
          <w:sz w:val="24"/>
          <w:szCs w:val="26"/>
          <w:lang w:val="en-GB"/>
        </w:rPr>
        <w:t xml:space="preserve"> In simple terms, the argument goes that</w:t>
      </w:r>
      <w:r w:rsidR="0053233B" w:rsidRPr="00224AF3">
        <w:rPr>
          <w:rFonts w:ascii="Times New Roman" w:hAnsi="Times New Roman" w:cs="Helvetica"/>
          <w:sz w:val="24"/>
          <w:szCs w:val="26"/>
          <w:lang w:val="en-GB"/>
        </w:rPr>
        <w:t xml:space="preserve"> </w:t>
      </w:r>
      <w:r w:rsidR="007C384A" w:rsidRPr="00224AF3">
        <w:rPr>
          <w:rFonts w:ascii="Times New Roman" w:hAnsi="Times New Roman" w:cs="Helvetica"/>
          <w:sz w:val="24"/>
          <w:szCs w:val="26"/>
          <w:lang w:val="en-GB"/>
        </w:rPr>
        <w:t>b</w:t>
      </w:r>
      <w:r w:rsidR="008748B7" w:rsidRPr="00224AF3">
        <w:rPr>
          <w:rFonts w:ascii="Times New Roman" w:hAnsi="Times New Roman" w:cs="Helvetica"/>
          <w:sz w:val="24"/>
          <w:szCs w:val="26"/>
          <w:lang w:val="en-GB"/>
        </w:rPr>
        <w:t>y means of</w:t>
      </w:r>
      <w:r w:rsidR="0053233B" w:rsidRPr="00224AF3">
        <w:rPr>
          <w:rFonts w:ascii="Times New Roman" w:hAnsi="Times New Roman" w:cs="Helvetica"/>
          <w:sz w:val="24"/>
          <w:szCs w:val="26"/>
          <w:lang w:val="en-GB"/>
        </w:rPr>
        <w:t xml:space="preserve"> new opportunity structures (peer rev</w:t>
      </w:r>
      <w:r w:rsidR="00FF7FB6" w:rsidRPr="00224AF3">
        <w:rPr>
          <w:rFonts w:ascii="Times New Roman" w:hAnsi="Times New Roman" w:cs="Helvetica"/>
          <w:sz w:val="24"/>
          <w:szCs w:val="26"/>
          <w:lang w:val="en-GB"/>
        </w:rPr>
        <w:t>iews, supranational committees, national action plans)</w:t>
      </w:r>
      <w:r w:rsidR="00B269E5" w:rsidRPr="00224AF3">
        <w:rPr>
          <w:rFonts w:ascii="Times New Roman" w:hAnsi="Times New Roman" w:cs="Helvetica"/>
          <w:sz w:val="24"/>
          <w:szCs w:val="26"/>
          <w:lang w:val="en-GB"/>
        </w:rPr>
        <w:t xml:space="preserve">, </w:t>
      </w:r>
      <w:r w:rsidR="00FB6776" w:rsidRPr="00224AF3">
        <w:rPr>
          <w:rFonts w:ascii="Times New Roman" w:hAnsi="Times New Roman" w:cs="Helvetica"/>
          <w:sz w:val="24"/>
          <w:szCs w:val="26"/>
          <w:lang w:val="en-GB"/>
        </w:rPr>
        <w:t xml:space="preserve">the </w:t>
      </w:r>
      <w:r w:rsidR="008748B7" w:rsidRPr="00224AF3">
        <w:rPr>
          <w:rFonts w:ascii="Times New Roman" w:hAnsi="Times New Roman" w:cs="Helvetica"/>
          <w:sz w:val="24"/>
          <w:szCs w:val="26"/>
          <w:lang w:val="en-GB"/>
        </w:rPr>
        <w:t xml:space="preserve">OMC pushed </w:t>
      </w:r>
      <w:r w:rsidR="00C35D88" w:rsidRPr="00224AF3">
        <w:rPr>
          <w:rFonts w:ascii="Times New Roman" w:hAnsi="Times New Roman" w:cs="Helvetica"/>
          <w:sz w:val="24"/>
          <w:szCs w:val="26"/>
          <w:lang w:val="en-GB"/>
        </w:rPr>
        <w:t xml:space="preserve">Member States to </w:t>
      </w:r>
      <w:r w:rsidR="003B4A95" w:rsidRPr="00224AF3">
        <w:rPr>
          <w:rFonts w:ascii="Times New Roman" w:hAnsi="Times New Roman" w:cs="Helvetica"/>
          <w:sz w:val="24"/>
          <w:szCs w:val="26"/>
          <w:lang w:val="en-GB"/>
        </w:rPr>
        <w:t>exchange, compare</w:t>
      </w:r>
      <w:r w:rsidR="00224AF3" w:rsidRPr="00224AF3">
        <w:rPr>
          <w:rFonts w:ascii="Times New Roman" w:hAnsi="Times New Roman" w:cs="Helvetica"/>
          <w:sz w:val="24"/>
          <w:szCs w:val="26"/>
          <w:lang w:val="en-GB"/>
        </w:rPr>
        <w:t>,</w:t>
      </w:r>
      <w:r w:rsidR="003B4A95" w:rsidRPr="00224AF3">
        <w:rPr>
          <w:rFonts w:ascii="Times New Roman" w:hAnsi="Times New Roman" w:cs="Helvetica"/>
          <w:sz w:val="24"/>
          <w:szCs w:val="26"/>
          <w:lang w:val="en-GB"/>
        </w:rPr>
        <w:t xml:space="preserve"> and </w:t>
      </w:r>
      <w:r w:rsidR="006705AF" w:rsidRPr="00224AF3">
        <w:rPr>
          <w:rFonts w:ascii="Times New Roman" w:hAnsi="Times New Roman" w:cs="Helvetica"/>
          <w:sz w:val="24"/>
          <w:szCs w:val="26"/>
          <w:lang w:val="en-GB"/>
        </w:rPr>
        <w:t xml:space="preserve">eventually </w:t>
      </w:r>
      <w:r w:rsidR="0053233B" w:rsidRPr="00224AF3">
        <w:rPr>
          <w:rFonts w:ascii="Times New Roman" w:hAnsi="Times New Roman" w:cs="Helvetica"/>
          <w:sz w:val="24"/>
          <w:szCs w:val="26"/>
          <w:lang w:val="en-GB"/>
        </w:rPr>
        <w:t>rethink</w:t>
      </w:r>
      <w:r w:rsidR="003B4A95" w:rsidRPr="00224AF3">
        <w:rPr>
          <w:rFonts w:ascii="Times New Roman" w:hAnsi="Times New Roman" w:cs="Helvetica"/>
          <w:sz w:val="24"/>
          <w:szCs w:val="26"/>
          <w:lang w:val="en-GB"/>
        </w:rPr>
        <w:t xml:space="preserve"> their domestic policy paradigms in light</w:t>
      </w:r>
      <w:r w:rsidR="00FF7FB6" w:rsidRPr="00224AF3">
        <w:rPr>
          <w:rFonts w:ascii="Times New Roman" w:hAnsi="Times New Roman" w:cs="Helvetica"/>
          <w:sz w:val="24"/>
          <w:szCs w:val="26"/>
          <w:lang w:val="en-GB"/>
        </w:rPr>
        <w:t xml:space="preserve"> of their relative performance (Lopéz-Santana 2006: 492; </w:t>
      </w:r>
      <w:r w:rsidR="003B4A95" w:rsidRPr="00224AF3">
        <w:rPr>
          <w:rFonts w:ascii="Times New Roman" w:hAnsi="Times New Roman" w:cs="Helvetica"/>
          <w:sz w:val="24"/>
          <w:szCs w:val="26"/>
          <w:lang w:val="en-GB"/>
        </w:rPr>
        <w:t>Zeitlin</w:t>
      </w:r>
      <w:r w:rsidR="006705AF" w:rsidRPr="00224AF3">
        <w:rPr>
          <w:rFonts w:ascii="Times New Roman" w:hAnsi="Times New Roman" w:cs="Helvetica"/>
          <w:sz w:val="24"/>
          <w:szCs w:val="26"/>
          <w:lang w:val="en-GB"/>
        </w:rPr>
        <w:t xml:space="preserve"> 2005</w:t>
      </w:r>
      <w:r w:rsidR="00D01417" w:rsidRPr="00224AF3">
        <w:rPr>
          <w:rFonts w:ascii="Times New Roman" w:hAnsi="Times New Roman" w:cs="Helvetica"/>
          <w:sz w:val="24"/>
          <w:szCs w:val="26"/>
          <w:lang w:val="en-GB"/>
        </w:rPr>
        <w:t>a</w:t>
      </w:r>
      <w:r w:rsidR="00FF7FB6" w:rsidRPr="00224AF3">
        <w:rPr>
          <w:rFonts w:ascii="Times New Roman" w:hAnsi="Times New Roman" w:cs="Helvetica"/>
          <w:sz w:val="24"/>
          <w:szCs w:val="26"/>
          <w:lang w:val="en-GB"/>
        </w:rPr>
        <w:t>: 22</w:t>
      </w:r>
      <w:r w:rsidR="006705AF" w:rsidRPr="00224AF3">
        <w:rPr>
          <w:rFonts w:ascii="Times New Roman" w:hAnsi="Times New Roman" w:cs="Helvetica"/>
          <w:sz w:val="24"/>
          <w:szCs w:val="26"/>
          <w:lang w:val="en-GB"/>
        </w:rPr>
        <w:t xml:space="preserve">). </w:t>
      </w:r>
      <w:r w:rsidR="0041372D" w:rsidRPr="00224AF3">
        <w:rPr>
          <w:rFonts w:ascii="Times New Roman" w:hAnsi="Times New Roman" w:cs="Helvetica"/>
          <w:sz w:val="24"/>
          <w:szCs w:val="26"/>
          <w:lang w:val="en-GB"/>
        </w:rPr>
        <w:t xml:space="preserve">For Zeitlin (2005b: 470), the </w:t>
      </w:r>
      <w:r w:rsidR="008F4410" w:rsidRPr="00224AF3">
        <w:rPr>
          <w:rFonts w:ascii="Times New Roman" w:hAnsi="Times New Roman" w:cs="Helvetica"/>
          <w:sz w:val="24"/>
          <w:szCs w:val="26"/>
          <w:lang w:val="en-GB"/>
        </w:rPr>
        <w:t xml:space="preserve">cross-national </w:t>
      </w:r>
      <w:r w:rsidR="00D9501E" w:rsidRPr="00224AF3">
        <w:rPr>
          <w:rFonts w:ascii="Times New Roman" w:hAnsi="Times New Roman" w:cs="Helvetica"/>
          <w:sz w:val="24"/>
          <w:szCs w:val="26"/>
          <w:lang w:val="en-GB"/>
        </w:rPr>
        <w:t>learning</w:t>
      </w:r>
      <w:r w:rsidR="008F4410" w:rsidRPr="00224AF3">
        <w:rPr>
          <w:rFonts w:ascii="Times New Roman" w:hAnsi="Times New Roman" w:cs="Helvetica"/>
          <w:sz w:val="24"/>
          <w:szCs w:val="26"/>
          <w:lang w:val="en-GB"/>
        </w:rPr>
        <w:t xml:space="preserve"> has been particularly evident </w:t>
      </w:r>
      <w:r w:rsidR="009215CD" w:rsidRPr="00224AF3">
        <w:rPr>
          <w:rFonts w:ascii="Times New Roman" w:hAnsi="Times New Roman" w:cs="Helvetica"/>
          <w:sz w:val="24"/>
          <w:szCs w:val="26"/>
          <w:lang w:val="en-GB"/>
        </w:rPr>
        <w:t>through heuristic and capacity-building</w:t>
      </w:r>
      <w:r w:rsidR="008F4410" w:rsidRPr="00224AF3">
        <w:rPr>
          <w:rFonts w:ascii="Times New Roman" w:hAnsi="Times New Roman" w:cs="Helvetica"/>
          <w:sz w:val="24"/>
          <w:szCs w:val="26"/>
          <w:lang w:val="en-GB"/>
        </w:rPr>
        <w:t xml:space="preserve"> effects, especially in the areas of European Employment Stra</w:t>
      </w:r>
      <w:r w:rsidR="00E04205" w:rsidRPr="00224AF3">
        <w:rPr>
          <w:rFonts w:ascii="Times New Roman" w:hAnsi="Times New Roman" w:cs="Helvetica"/>
          <w:sz w:val="24"/>
          <w:szCs w:val="26"/>
          <w:lang w:val="en-GB"/>
        </w:rPr>
        <w:t>tegy (EES)</w:t>
      </w:r>
      <w:r w:rsidR="008F4410" w:rsidRPr="00224AF3">
        <w:rPr>
          <w:rFonts w:ascii="Times New Roman" w:hAnsi="Times New Roman" w:cs="Helvetica"/>
          <w:sz w:val="24"/>
          <w:szCs w:val="26"/>
          <w:lang w:val="en-GB"/>
        </w:rPr>
        <w:t>.</w:t>
      </w:r>
      <w:r w:rsidR="00D9501E" w:rsidRPr="00224AF3">
        <w:rPr>
          <w:rFonts w:ascii="Times New Roman" w:hAnsi="Times New Roman" w:cs="Helvetica"/>
          <w:sz w:val="24"/>
          <w:szCs w:val="26"/>
          <w:lang w:val="en-GB"/>
        </w:rPr>
        <w:t xml:space="preserve"> In heuristic terms, both</w:t>
      </w:r>
      <w:r w:rsidR="005F5AA1" w:rsidRPr="00224AF3">
        <w:rPr>
          <w:rFonts w:ascii="Times New Roman" w:hAnsi="Times New Roman" w:cs="Helvetica"/>
          <w:sz w:val="24"/>
          <w:szCs w:val="26"/>
          <w:lang w:val="en-GB"/>
        </w:rPr>
        <w:t xml:space="preserve"> OMC</w:t>
      </w:r>
      <w:r w:rsidR="00D9501E" w:rsidRPr="00224AF3">
        <w:rPr>
          <w:rFonts w:ascii="Times New Roman" w:hAnsi="Times New Roman" w:cs="Helvetica"/>
          <w:sz w:val="24"/>
          <w:szCs w:val="26"/>
          <w:lang w:val="en-GB"/>
        </w:rPr>
        <w:t xml:space="preserve"> </w:t>
      </w:r>
      <w:r w:rsidR="007522C6" w:rsidRPr="00224AF3">
        <w:rPr>
          <w:rFonts w:ascii="Times New Roman" w:hAnsi="Times New Roman" w:cs="Helvetica"/>
          <w:sz w:val="24"/>
          <w:szCs w:val="26"/>
          <w:lang w:val="en-GB"/>
        </w:rPr>
        <w:t>processe</w:t>
      </w:r>
      <w:r w:rsidR="00D9501E" w:rsidRPr="00224AF3">
        <w:rPr>
          <w:rFonts w:ascii="Times New Roman" w:hAnsi="Times New Roman" w:cs="Helvetica"/>
          <w:sz w:val="24"/>
          <w:szCs w:val="26"/>
          <w:lang w:val="en-GB"/>
        </w:rPr>
        <w:t>s have enhanced mutual awareness of national policies contributing towards</w:t>
      </w:r>
      <w:r w:rsidR="00224AF3" w:rsidRPr="00224AF3">
        <w:rPr>
          <w:rFonts w:ascii="Times New Roman" w:hAnsi="Times New Roman" w:cs="Helvetica"/>
          <w:sz w:val="24"/>
          <w:szCs w:val="26"/>
          <w:lang w:val="en-GB"/>
        </w:rPr>
        <w:t xml:space="preserve"> an</w:t>
      </w:r>
      <w:r w:rsidR="00D9501E" w:rsidRPr="00224AF3">
        <w:rPr>
          <w:rFonts w:ascii="Times New Roman" w:hAnsi="Times New Roman" w:cs="Helvetica"/>
          <w:sz w:val="24"/>
          <w:szCs w:val="26"/>
          <w:lang w:val="en-GB"/>
        </w:rPr>
        <w:t xml:space="preserve"> increasing interest</w:t>
      </w:r>
      <w:r w:rsidR="005F5AA1" w:rsidRPr="00224AF3">
        <w:rPr>
          <w:rFonts w:ascii="Times New Roman" w:hAnsi="Times New Roman" w:cs="Helvetica"/>
          <w:sz w:val="24"/>
          <w:szCs w:val="26"/>
          <w:lang w:val="en-GB"/>
        </w:rPr>
        <w:t xml:space="preserve"> in learning from another. </w:t>
      </w:r>
      <w:r w:rsidR="00944CFE" w:rsidRPr="00224AF3">
        <w:rPr>
          <w:rFonts w:ascii="Times New Roman" w:hAnsi="Times New Roman" w:cs="Helvetica"/>
          <w:sz w:val="24"/>
          <w:szCs w:val="26"/>
          <w:lang w:val="en-GB"/>
        </w:rPr>
        <w:t>For example</w:t>
      </w:r>
      <w:r w:rsidR="00557087" w:rsidRPr="00224AF3">
        <w:rPr>
          <w:rFonts w:ascii="Times New Roman" w:hAnsi="Times New Roman" w:cs="Helvetica"/>
          <w:sz w:val="24"/>
          <w:szCs w:val="26"/>
          <w:lang w:val="en-GB"/>
        </w:rPr>
        <w:t>,</w:t>
      </w:r>
      <w:r w:rsidR="00E80212" w:rsidRPr="00224AF3">
        <w:rPr>
          <w:rFonts w:ascii="Times New Roman" w:hAnsi="Times New Roman" w:cs="Helvetica"/>
          <w:sz w:val="24"/>
          <w:szCs w:val="26"/>
          <w:lang w:val="en-GB"/>
        </w:rPr>
        <w:t xml:space="preserve"> when</w:t>
      </w:r>
      <w:r w:rsidR="0022194E" w:rsidRPr="00224AF3">
        <w:rPr>
          <w:rFonts w:ascii="Times New Roman" w:hAnsi="Times New Roman" w:cs="Helvetica"/>
          <w:sz w:val="24"/>
          <w:szCs w:val="26"/>
          <w:lang w:val="en-GB"/>
        </w:rPr>
        <w:t xml:space="preserve"> draftin</w:t>
      </w:r>
      <w:r w:rsidR="00B86B56" w:rsidRPr="00224AF3">
        <w:rPr>
          <w:rFonts w:ascii="Times New Roman" w:hAnsi="Times New Roman" w:cs="Helvetica"/>
          <w:sz w:val="24"/>
          <w:szCs w:val="26"/>
          <w:lang w:val="en-GB"/>
        </w:rPr>
        <w:t>g the labour market reform in 2002</w:t>
      </w:r>
      <w:r w:rsidR="0022194E" w:rsidRPr="00224AF3">
        <w:rPr>
          <w:rFonts w:ascii="Times New Roman" w:hAnsi="Times New Roman" w:cs="Helvetica"/>
          <w:sz w:val="24"/>
          <w:szCs w:val="26"/>
          <w:lang w:val="en-GB"/>
        </w:rPr>
        <w:t xml:space="preserve">, </w:t>
      </w:r>
      <w:r w:rsidR="007522C6" w:rsidRPr="00224AF3">
        <w:rPr>
          <w:rFonts w:ascii="Times New Roman" w:hAnsi="Times New Roman" w:cs="Helvetica"/>
          <w:sz w:val="24"/>
          <w:szCs w:val="26"/>
          <w:lang w:val="en-GB"/>
        </w:rPr>
        <w:t>not only d</w:t>
      </w:r>
      <w:r w:rsidR="00A265BF" w:rsidRPr="00224AF3">
        <w:rPr>
          <w:rFonts w:ascii="Times New Roman" w:hAnsi="Times New Roman" w:cs="Helvetica"/>
          <w:sz w:val="24"/>
          <w:szCs w:val="26"/>
          <w:lang w:val="en-GB"/>
        </w:rPr>
        <w:t>id the</w:t>
      </w:r>
      <w:r w:rsidR="00B86B56" w:rsidRPr="00224AF3">
        <w:rPr>
          <w:rFonts w:ascii="Times New Roman" w:hAnsi="Times New Roman" w:cs="Helvetica"/>
          <w:sz w:val="24"/>
          <w:szCs w:val="26"/>
          <w:lang w:val="en-GB"/>
        </w:rPr>
        <w:t xml:space="preserve"> German</w:t>
      </w:r>
      <w:r w:rsidR="00A265BF" w:rsidRPr="00224AF3">
        <w:rPr>
          <w:rFonts w:ascii="Times New Roman" w:hAnsi="Times New Roman" w:cs="Helvetica"/>
          <w:sz w:val="24"/>
          <w:szCs w:val="26"/>
          <w:lang w:val="en-GB"/>
        </w:rPr>
        <w:t xml:space="preserve"> government draw on other </w:t>
      </w:r>
      <w:r w:rsidR="007522C6" w:rsidRPr="00224AF3">
        <w:rPr>
          <w:rFonts w:ascii="Times New Roman" w:hAnsi="Times New Roman" w:cs="Helvetica"/>
          <w:sz w:val="24"/>
          <w:szCs w:val="26"/>
          <w:lang w:val="en-GB"/>
        </w:rPr>
        <w:t xml:space="preserve">Member States’ national action plans, but also engaged in bilateral exchanges with </w:t>
      </w:r>
      <w:r w:rsidR="00A265BF" w:rsidRPr="00224AF3">
        <w:rPr>
          <w:rFonts w:ascii="Times New Roman" w:hAnsi="Times New Roman" w:cs="Helvetica"/>
          <w:sz w:val="24"/>
          <w:szCs w:val="26"/>
          <w:lang w:val="en-GB"/>
        </w:rPr>
        <w:t xml:space="preserve">like-minded </w:t>
      </w:r>
      <w:r w:rsidR="007A27D6" w:rsidRPr="00224AF3">
        <w:rPr>
          <w:rFonts w:ascii="Times New Roman" w:hAnsi="Times New Roman" w:cs="Helvetica"/>
          <w:sz w:val="24"/>
          <w:szCs w:val="26"/>
          <w:lang w:val="en-GB"/>
        </w:rPr>
        <w:t>countries such as</w:t>
      </w:r>
      <w:r w:rsidR="00A265BF" w:rsidRPr="00224AF3">
        <w:rPr>
          <w:rFonts w:ascii="Times New Roman" w:hAnsi="Times New Roman" w:cs="Helvetica"/>
          <w:sz w:val="24"/>
          <w:szCs w:val="26"/>
          <w:lang w:val="en-GB"/>
        </w:rPr>
        <w:t xml:space="preserve"> Denmark, Italy and the UK on particular policy issues (Büchs and Friedrich 200</w:t>
      </w:r>
      <w:r w:rsidR="005F5AA1" w:rsidRPr="00224AF3">
        <w:rPr>
          <w:rFonts w:ascii="Times New Roman" w:hAnsi="Times New Roman" w:cs="Helvetica"/>
          <w:sz w:val="24"/>
          <w:szCs w:val="26"/>
          <w:lang w:val="en-GB"/>
        </w:rPr>
        <w:t xml:space="preserve">5: 254). In </w:t>
      </w:r>
      <w:r w:rsidR="00BD2EB5" w:rsidRPr="00224AF3">
        <w:rPr>
          <w:rFonts w:ascii="Times New Roman" w:hAnsi="Times New Roman" w:cs="Helvetica"/>
          <w:sz w:val="24"/>
          <w:szCs w:val="26"/>
          <w:lang w:val="en-GB"/>
        </w:rPr>
        <w:t>terms of capacity-building, the</w:t>
      </w:r>
      <w:r w:rsidR="00E04205" w:rsidRPr="00224AF3">
        <w:rPr>
          <w:rFonts w:ascii="Times New Roman" w:hAnsi="Times New Roman" w:cs="Helvetica"/>
          <w:sz w:val="24"/>
          <w:szCs w:val="26"/>
          <w:lang w:val="en-GB"/>
        </w:rPr>
        <w:t xml:space="preserve"> EES process have contributed towards </w:t>
      </w:r>
      <w:r w:rsidR="00224AF3" w:rsidRPr="00224AF3">
        <w:rPr>
          <w:rFonts w:ascii="Times New Roman" w:hAnsi="Times New Roman" w:cs="Helvetica"/>
          <w:sz w:val="24"/>
          <w:szCs w:val="26"/>
          <w:lang w:val="en-GB"/>
        </w:rPr>
        <w:t xml:space="preserve">the </w:t>
      </w:r>
      <w:r w:rsidR="00E04205" w:rsidRPr="00224AF3">
        <w:rPr>
          <w:rFonts w:ascii="Times New Roman" w:hAnsi="Times New Roman" w:cs="Helvetica"/>
          <w:sz w:val="24"/>
          <w:szCs w:val="26"/>
          <w:lang w:val="en-GB"/>
        </w:rPr>
        <w:t xml:space="preserve">development of </w:t>
      </w:r>
      <w:r w:rsidR="00224AF3" w:rsidRPr="00224AF3">
        <w:rPr>
          <w:rFonts w:ascii="Times New Roman" w:hAnsi="Times New Roman" w:cs="Helvetica"/>
          <w:sz w:val="24"/>
          <w:szCs w:val="26"/>
          <w:lang w:val="en-GB"/>
        </w:rPr>
        <w:t xml:space="preserve">a </w:t>
      </w:r>
      <w:r w:rsidR="00E04205" w:rsidRPr="00224AF3">
        <w:rPr>
          <w:rFonts w:ascii="Times New Roman" w:hAnsi="Times New Roman" w:cs="Helvetica"/>
          <w:sz w:val="24"/>
          <w:szCs w:val="26"/>
          <w:lang w:val="en-GB"/>
        </w:rPr>
        <w:t xml:space="preserve">common set of European indicators as well as </w:t>
      </w:r>
      <w:r w:rsidR="00224AF3" w:rsidRPr="00224AF3">
        <w:rPr>
          <w:rFonts w:ascii="Times New Roman" w:hAnsi="Times New Roman" w:cs="Helvetica"/>
          <w:sz w:val="24"/>
          <w:szCs w:val="26"/>
          <w:lang w:val="en-GB"/>
        </w:rPr>
        <w:t xml:space="preserve">a </w:t>
      </w:r>
      <w:r w:rsidR="00E04205" w:rsidRPr="00224AF3">
        <w:rPr>
          <w:rFonts w:ascii="Times New Roman" w:hAnsi="Times New Roman" w:cs="Helvetica"/>
          <w:sz w:val="24"/>
          <w:szCs w:val="26"/>
          <w:lang w:val="en-GB"/>
        </w:rPr>
        <w:t xml:space="preserve">creation of </w:t>
      </w:r>
      <w:r w:rsidR="00AF4A3E" w:rsidRPr="00224AF3">
        <w:rPr>
          <w:rFonts w:ascii="Times New Roman" w:hAnsi="Times New Roman" w:cs="Helvetica"/>
          <w:sz w:val="24"/>
          <w:szCs w:val="26"/>
          <w:lang w:val="en-GB"/>
        </w:rPr>
        <w:t>new data sources</w:t>
      </w:r>
      <w:r w:rsidR="00BD2EB5" w:rsidRPr="00224AF3">
        <w:rPr>
          <w:rFonts w:ascii="Times New Roman" w:hAnsi="Times New Roman" w:cs="Helvetica"/>
          <w:sz w:val="24"/>
          <w:szCs w:val="26"/>
          <w:lang w:val="en-GB"/>
        </w:rPr>
        <w:t>.</w:t>
      </w:r>
      <w:r w:rsidR="00AF4A3E" w:rsidRPr="00224AF3">
        <w:rPr>
          <w:rFonts w:ascii="Times New Roman" w:hAnsi="Times New Roman" w:cs="Helvetica"/>
          <w:sz w:val="24"/>
          <w:szCs w:val="26"/>
          <w:lang w:val="en-GB"/>
        </w:rPr>
        <w:t xml:space="preserve"> (Zeitlin 2005b: 471).</w:t>
      </w:r>
      <w:r w:rsidR="009215CD" w:rsidRPr="00224AF3">
        <w:rPr>
          <w:rFonts w:ascii="Times New Roman" w:hAnsi="Times New Roman" w:cs="Helvetica"/>
          <w:sz w:val="24"/>
          <w:szCs w:val="26"/>
          <w:lang w:val="en-GB"/>
        </w:rPr>
        <w:t xml:space="preserve"> </w:t>
      </w:r>
    </w:p>
    <w:p w:rsidR="007518A1" w:rsidRPr="00224AF3" w:rsidRDefault="00C17106" w:rsidP="00224AF3">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However, m</w:t>
      </w:r>
      <w:r w:rsidR="009215CD" w:rsidRPr="00224AF3">
        <w:rPr>
          <w:rFonts w:ascii="Times New Roman" w:hAnsi="Times New Roman" w:cs="Helvetica"/>
          <w:sz w:val="24"/>
          <w:szCs w:val="26"/>
          <w:lang w:val="en-GB"/>
        </w:rPr>
        <w:t xml:space="preserve">ost of </w:t>
      </w:r>
      <w:r w:rsidRPr="00224AF3">
        <w:rPr>
          <w:rFonts w:ascii="Times New Roman" w:hAnsi="Times New Roman" w:cs="Helvetica"/>
          <w:sz w:val="24"/>
          <w:szCs w:val="26"/>
          <w:lang w:val="en-GB"/>
        </w:rPr>
        <w:t>the knowled</w:t>
      </w:r>
      <w:r w:rsidR="00B73E17" w:rsidRPr="00224AF3">
        <w:rPr>
          <w:rFonts w:ascii="Times New Roman" w:hAnsi="Times New Roman" w:cs="Helvetica"/>
          <w:sz w:val="24"/>
          <w:szCs w:val="26"/>
          <w:lang w:val="en-GB"/>
        </w:rPr>
        <w:t>ge has been con</w:t>
      </w:r>
      <w:r w:rsidR="00436A44" w:rsidRPr="00224AF3">
        <w:rPr>
          <w:rFonts w:ascii="Times New Roman" w:hAnsi="Times New Roman" w:cs="Helvetica"/>
          <w:sz w:val="24"/>
          <w:szCs w:val="26"/>
          <w:lang w:val="en-GB"/>
        </w:rPr>
        <w:t>fined</w:t>
      </w:r>
      <w:r w:rsidR="00B73E17" w:rsidRPr="00224AF3">
        <w:rPr>
          <w:rFonts w:ascii="Times New Roman" w:hAnsi="Times New Roman" w:cs="Helvetica"/>
          <w:sz w:val="24"/>
          <w:szCs w:val="26"/>
          <w:lang w:val="en-GB"/>
        </w:rPr>
        <w:t xml:space="preserve"> to</w:t>
      </w:r>
      <w:r w:rsidR="00B144C9" w:rsidRPr="00224AF3">
        <w:rPr>
          <w:rFonts w:ascii="Times New Roman" w:hAnsi="Times New Roman" w:cs="Helvetica"/>
          <w:sz w:val="24"/>
          <w:szCs w:val="26"/>
          <w:lang w:val="en-GB"/>
        </w:rPr>
        <w:t xml:space="preserve"> the</w:t>
      </w:r>
      <w:r w:rsidR="00B73E17" w:rsidRPr="00224AF3">
        <w:rPr>
          <w:rFonts w:ascii="Times New Roman" w:hAnsi="Times New Roman" w:cs="Helvetica"/>
          <w:sz w:val="24"/>
          <w:szCs w:val="26"/>
          <w:lang w:val="en-GB"/>
        </w:rPr>
        <w:t xml:space="preserve"> EU-level </w:t>
      </w:r>
      <w:r w:rsidR="00B144C9" w:rsidRPr="00224AF3">
        <w:rPr>
          <w:rFonts w:ascii="Times New Roman" w:hAnsi="Times New Roman" w:cs="Helvetica"/>
          <w:sz w:val="24"/>
          <w:szCs w:val="26"/>
          <w:lang w:val="en-GB"/>
        </w:rPr>
        <w:t>political or technical</w:t>
      </w:r>
      <w:r w:rsidR="00E32117" w:rsidRPr="00224AF3">
        <w:rPr>
          <w:rFonts w:ascii="Times New Roman" w:hAnsi="Times New Roman" w:cs="Helvetica"/>
          <w:sz w:val="24"/>
          <w:szCs w:val="26"/>
          <w:lang w:val="en-GB"/>
        </w:rPr>
        <w:t xml:space="preserve"> committees. For Copeland (2012: 230), the process of policy learning is essentially </w:t>
      </w:r>
      <w:r w:rsidR="00436A44" w:rsidRPr="00224AF3">
        <w:rPr>
          <w:rFonts w:ascii="Times New Roman" w:hAnsi="Times New Roman" w:cs="Helvetica"/>
          <w:sz w:val="24"/>
          <w:szCs w:val="26"/>
          <w:lang w:val="en-GB"/>
        </w:rPr>
        <w:t>‘Brussels ta</w:t>
      </w:r>
      <w:r w:rsidR="00224AF3" w:rsidRPr="00224AF3">
        <w:rPr>
          <w:rFonts w:ascii="Times New Roman" w:hAnsi="Times New Roman" w:cs="Helvetica"/>
          <w:sz w:val="24"/>
          <w:szCs w:val="26"/>
          <w:lang w:val="en-GB"/>
        </w:rPr>
        <w:t xml:space="preserve">lking to Brussels’, without </w:t>
      </w:r>
      <w:r w:rsidR="00436A44" w:rsidRPr="00224AF3">
        <w:rPr>
          <w:rFonts w:ascii="Times New Roman" w:hAnsi="Times New Roman" w:cs="Helvetica"/>
          <w:sz w:val="24"/>
          <w:szCs w:val="26"/>
          <w:lang w:val="en-GB"/>
        </w:rPr>
        <w:t xml:space="preserve">compliance of </w:t>
      </w:r>
      <w:r w:rsidR="00224AF3" w:rsidRPr="00224AF3">
        <w:rPr>
          <w:rFonts w:ascii="Times New Roman" w:hAnsi="Times New Roman" w:cs="Helvetica"/>
          <w:sz w:val="24"/>
          <w:szCs w:val="26"/>
          <w:lang w:val="en-GB"/>
        </w:rPr>
        <w:t xml:space="preserve">the </w:t>
      </w:r>
      <w:r w:rsidR="00436A44" w:rsidRPr="00224AF3">
        <w:rPr>
          <w:rFonts w:ascii="Times New Roman" w:hAnsi="Times New Roman" w:cs="Helvetica"/>
          <w:sz w:val="24"/>
          <w:szCs w:val="26"/>
          <w:lang w:val="en-GB"/>
        </w:rPr>
        <w:t xml:space="preserve">Member States. </w:t>
      </w:r>
      <w:r w:rsidR="00B73E17" w:rsidRPr="00224AF3">
        <w:rPr>
          <w:rFonts w:ascii="Times New Roman" w:hAnsi="Times New Roman" w:cs="Helvetica"/>
          <w:sz w:val="24"/>
          <w:szCs w:val="26"/>
          <w:lang w:val="en-GB"/>
        </w:rPr>
        <w:t>This point is echoed by Radaelli (2008: 248),</w:t>
      </w:r>
      <w:r w:rsidR="003A764D" w:rsidRPr="00224AF3">
        <w:rPr>
          <w:rFonts w:ascii="Times New Roman" w:hAnsi="Times New Roman" w:cs="Helvetica"/>
          <w:sz w:val="24"/>
          <w:szCs w:val="26"/>
          <w:lang w:val="en-GB"/>
        </w:rPr>
        <w:t xml:space="preserve"> who claims</w:t>
      </w:r>
      <w:r w:rsidR="00B73E17" w:rsidRPr="00224AF3">
        <w:rPr>
          <w:rFonts w:ascii="Times New Roman" w:hAnsi="Times New Roman" w:cs="Helvetica"/>
          <w:sz w:val="24"/>
          <w:szCs w:val="26"/>
          <w:lang w:val="en-GB"/>
        </w:rPr>
        <w:t xml:space="preserve"> that the cognitive process manifests itself</w:t>
      </w:r>
      <w:r w:rsidR="003A764D" w:rsidRPr="00224AF3">
        <w:rPr>
          <w:rFonts w:ascii="Times New Roman" w:hAnsi="Times New Roman" w:cs="Helvetica"/>
          <w:sz w:val="24"/>
          <w:szCs w:val="26"/>
          <w:lang w:val="en-GB"/>
        </w:rPr>
        <w:t xml:space="preserve"> vividly</w:t>
      </w:r>
      <w:r w:rsidR="00B73E17" w:rsidRPr="00224AF3">
        <w:rPr>
          <w:rFonts w:ascii="Times New Roman" w:hAnsi="Times New Roman" w:cs="Helvetica"/>
          <w:sz w:val="24"/>
          <w:szCs w:val="26"/>
          <w:lang w:val="en-GB"/>
        </w:rPr>
        <w:t xml:space="preserve"> </w:t>
      </w:r>
      <w:r w:rsidR="00B73E17" w:rsidRPr="00224AF3">
        <w:rPr>
          <w:rFonts w:ascii="Times New Roman" w:hAnsi="Times New Roman" w:cs="Helvetica"/>
          <w:i/>
          <w:sz w:val="24"/>
          <w:szCs w:val="26"/>
          <w:lang w:val="en-GB"/>
        </w:rPr>
        <w:t>at the top</w:t>
      </w:r>
      <w:r w:rsidR="00B73E17" w:rsidRPr="00224AF3">
        <w:rPr>
          <w:rFonts w:ascii="Times New Roman" w:hAnsi="Times New Roman" w:cs="Helvetica"/>
          <w:sz w:val="24"/>
          <w:szCs w:val="26"/>
          <w:lang w:val="en-GB"/>
        </w:rPr>
        <w:t xml:space="preserve">, yet there is </w:t>
      </w:r>
      <w:r w:rsidR="005F00B6" w:rsidRPr="00224AF3">
        <w:rPr>
          <w:rFonts w:ascii="Times New Roman" w:hAnsi="Times New Roman" w:cs="Helvetica"/>
          <w:sz w:val="24"/>
          <w:szCs w:val="26"/>
          <w:lang w:val="en-GB"/>
        </w:rPr>
        <w:t>limited</w:t>
      </w:r>
      <w:r w:rsidR="00B73E17" w:rsidRPr="00224AF3">
        <w:rPr>
          <w:rFonts w:ascii="Times New Roman" w:hAnsi="Times New Roman" w:cs="Helvetica"/>
          <w:sz w:val="24"/>
          <w:szCs w:val="26"/>
          <w:lang w:val="en-GB"/>
        </w:rPr>
        <w:t xml:space="preserve"> evidence of learning </w:t>
      </w:r>
      <w:r w:rsidR="00B73E17" w:rsidRPr="00224AF3">
        <w:rPr>
          <w:rFonts w:ascii="Times New Roman" w:hAnsi="Times New Roman" w:cs="Helvetica"/>
          <w:i/>
          <w:sz w:val="24"/>
          <w:szCs w:val="26"/>
          <w:lang w:val="en-GB"/>
        </w:rPr>
        <w:t>from</w:t>
      </w:r>
      <w:r w:rsidR="003A764D" w:rsidRPr="00224AF3">
        <w:rPr>
          <w:rFonts w:ascii="Times New Roman" w:hAnsi="Times New Roman" w:cs="Helvetica"/>
          <w:i/>
          <w:sz w:val="24"/>
          <w:szCs w:val="26"/>
          <w:lang w:val="en-GB"/>
        </w:rPr>
        <w:t xml:space="preserve"> the top</w:t>
      </w:r>
      <w:r w:rsidR="003A764D" w:rsidRPr="00224AF3">
        <w:rPr>
          <w:rFonts w:ascii="Times New Roman" w:hAnsi="Times New Roman" w:cs="Helvetica"/>
          <w:sz w:val="24"/>
          <w:szCs w:val="26"/>
          <w:lang w:val="en-GB"/>
        </w:rPr>
        <w:t xml:space="preserve"> and almost no evidence of </w:t>
      </w:r>
      <w:r w:rsidR="00EC64BE" w:rsidRPr="00224AF3">
        <w:rPr>
          <w:rFonts w:ascii="Times New Roman" w:hAnsi="Times New Roman" w:cs="Helvetica"/>
          <w:sz w:val="24"/>
          <w:szCs w:val="26"/>
          <w:lang w:val="en-GB"/>
        </w:rPr>
        <w:t xml:space="preserve">learning </w:t>
      </w:r>
      <w:r w:rsidR="003A764D" w:rsidRPr="00224AF3">
        <w:rPr>
          <w:rFonts w:ascii="Times New Roman" w:hAnsi="Times New Roman" w:cs="Helvetica"/>
          <w:i/>
          <w:sz w:val="24"/>
          <w:szCs w:val="26"/>
          <w:lang w:val="en-GB"/>
        </w:rPr>
        <w:t>from the bottom</w:t>
      </w:r>
      <w:r w:rsidR="003A764D" w:rsidRPr="00224AF3">
        <w:rPr>
          <w:rFonts w:ascii="Times New Roman" w:hAnsi="Times New Roman" w:cs="Helvetica"/>
          <w:sz w:val="24"/>
          <w:szCs w:val="26"/>
          <w:lang w:val="en-GB"/>
        </w:rPr>
        <w:t xml:space="preserve">. </w:t>
      </w:r>
      <w:r w:rsidR="005F1BE0" w:rsidRPr="00224AF3">
        <w:rPr>
          <w:rFonts w:ascii="Times New Roman" w:hAnsi="Times New Roman" w:cs="Helvetica"/>
          <w:sz w:val="24"/>
          <w:szCs w:val="26"/>
          <w:lang w:val="en-GB"/>
        </w:rPr>
        <w:t xml:space="preserve">Furthermore, the effects of learning </w:t>
      </w:r>
      <w:r w:rsidR="007518A1" w:rsidRPr="00224AF3">
        <w:rPr>
          <w:rFonts w:ascii="Times New Roman" w:hAnsi="Times New Roman" w:cs="Helvetica"/>
          <w:sz w:val="24"/>
          <w:szCs w:val="26"/>
          <w:lang w:val="en-GB"/>
        </w:rPr>
        <w:t xml:space="preserve">have varied across different policy areas. For instance, the already mentioned employment policy developed a strong cognitive framework, whereby Member States demonstrated </w:t>
      </w:r>
      <w:r w:rsidR="00056D77" w:rsidRPr="00224AF3">
        <w:rPr>
          <w:rFonts w:ascii="Times New Roman" w:hAnsi="Times New Roman" w:cs="Helvetica"/>
          <w:sz w:val="24"/>
          <w:szCs w:val="26"/>
          <w:lang w:val="en-GB"/>
        </w:rPr>
        <w:t xml:space="preserve">a higher </w:t>
      </w:r>
      <w:r w:rsidR="007518A1" w:rsidRPr="00224AF3">
        <w:rPr>
          <w:rFonts w:ascii="Times New Roman" w:hAnsi="Times New Roman" w:cs="Helvetica"/>
          <w:sz w:val="24"/>
          <w:szCs w:val="26"/>
          <w:lang w:val="en-GB"/>
        </w:rPr>
        <w:t>levels of engagement in peer reviewing</w:t>
      </w:r>
      <w:r w:rsidR="00056D77" w:rsidRPr="00224AF3">
        <w:rPr>
          <w:rFonts w:ascii="Times New Roman" w:hAnsi="Times New Roman" w:cs="Helvetica"/>
          <w:sz w:val="24"/>
          <w:szCs w:val="26"/>
          <w:lang w:val="en-GB"/>
        </w:rPr>
        <w:t xml:space="preserve"> than usual (see Heidenreich</w:t>
      </w:r>
      <w:r w:rsidR="007518A1" w:rsidRPr="00224AF3">
        <w:rPr>
          <w:rFonts w:ascii="Times New Roman" w:hAnsi="Times New Roman" w:cs="Helvetica"/>
          <w:sz w:val="24"/>
          <w:szCs w:val="26"/>
          <w:lang w:val="en-GB"/>
        </w:rPr>
        <w:t xml:space="preserve"> and Zeitlin 2009). By </w:t>
      </w:r>
      <w:r w:rsidR="007518A1" w:rsidRPr="00224AF3">
        <w:rPr>
          <w:rFonts w:ascii="Times New Roman" w:hAnsi="Times New Roman" w:cs="Helvetica"/>
          <w:sz w:val="24"/>
          <w:szCs w:val="26"/>
          <w:lang w:val="en-GB"/>
        </w:rPr>
        <w:lastRenderedPageBreak/>
        <w:t xml:space="preserve">contrast, learning within </w:t>
      </w:r>
      <w:r w:rsidR="00224AF3" w:rsidRPr="00224AF3">
        <w:rPr>
          <w:rFonts w:ascii="Times New Roman" w:hAnsi="Times New Roman" w:cs="Helvetica"/>
          <w:sz w:val="24"/>
          <w:szCs w:val="26"/>
          <w:lang w:val="en-GB"/>
        </w:rPr>
        <w:t xml:space="preserve">the </w:t>
      </w:r>
      <w:r w:rsidR="007518A1" w:rsidRPr="00224AF3">
        <w:rPr>
          <w:rFonts w:ascii="Times New Roman" w:hAnsi="Times New Roman" w:cs="Helvetica"/>
          <w:sz w:val="24"/>
          <w:szCs w:val="26"/>
          <w:lang w:val="en-GB"/>
        </w:rPr>
        <w:t xml:space="preserve">healthcare policy area has been rather scant, producing embryonic progress in terms of monitoring and target setting (Copeland 2012: 230). Given these frailties, the success of the OMC in promoting policy learning is dubious at best and remains open to question. </w:t>
      </w:r>
    </w:p>
    <w:p w:rsidR="007518A1" w:rsidRPr="00224AF3" w:rsidRDefault="007518A1" w:rsidP="007518A1">
      <w:pPr>
        <w:pStyle w:val="NormalWeb"/>
        <w:spacing w:beforeLines="0" w:afterLines="0" w:line="480" w:lineRule="auto"/>
        <w:jc w:val="both"/>
        <w:rPr>
          <w:rFonts w:ascii="Times New Roman" w:hAnsi="Times New Roman" w:cs="Helvetica"/>
          <w:sz w:val="24"/>
          <w:szCs w:val="26"/>
          <w:lang w:val="en-GB"/>
        </w:rPr>
      </w:pPr>
      <w:r w:rsidRPr="00224AF3">
        <w:rPr>
          <w:rFonts w:ascii="Times New Roman" w:hAnsi="Times New Roman" w:cs="Helvetica"/>
          <w:b/>
          <w:sz w:val="24"/>
          <w:szCs w:val="26"/>
          <w:lang w:val="en-GB"/>
        </w:rPr>
        <w:t>Conclusion</w:t>
      </w:r>
      <w:r w:rsidRPr="00224AF3">
        <w:rPr>
          <w:rFonts w:ascii="Times New Roman" w:hAnsi="Times New Roman" w:cs="Helvetica"/>
          <w:sz w:val="24"/>
          <w:szCs w:val="26"/>
          <w:lang w:val="en-GB"/>
        </w:rPr>
        <w:t>:</w:t>
      </w:r>
    </w:p>
    <w:p w:rsidR="007518A1" w:rsidRPr="00224AF3" w:rsidRDefault="007518A1" w:rsidP="004D4A6A">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 xml:space="preserve">The aim of this essay was to analyse the Lisbon Strategy in terms of its main failures and successes. In order to paint as full picture as possible, the essay evaluated two distinct categories of failures. First, it demonstrated how the Strategy failed in all key areas to become </w:t>
      </w:r>
      <w:r w:rsidRPr="00224AF3">
        <w:rPr>
          <w:rFonts w:ascii="Times New Roman" w:hAnsi="Times New Roman"/>
          <w:sz w:val="24"/>
          <w:szCs w:val="18"/>
          <w:lang w:val="en-GB"/>
        </w:rPr>
        <w:t xml:space="preserve">the most competitive and dynamic knowledge-based economy in the world </w:t>
      </w:r>
      <w:r w:rsidRPr="00224AF3">
        <w:rPr>
          <w:rFonts w:ascii="Times New Roman" w:hAnsi="Times New Roman" w:cs="Helvetica"/>
          <w:sz w:val="24"/>
          <w:szCs w:val="26"/>
          <w:lang w:val="en-GB"/>
        </w:rPr>
        <w:t>capable of sustainable economic growth with more and better jobs and greater social cohesion”. Second, the essay identified the weak mode of governance and</w:t>
      </w:r>
      <w:r w:rsidR="00224AF3" w:rsidRPr="00224AF3">
        <w:rPr>
          <w:rFonts w:ascii="Times New Roman" w:hAnsi="Times New Roman" w:cs="Helvetica"/>
          <w:sz w:val="24"/>
          <w:szCs w:val="26"/>
          <w:lang w:val="en-GB"/>
        </w:rPr>
        <w:t xml:space="preserve"> the</w:t>
      </w:r>
      <w:r w:rsidRPr="00224AF3">
        <w:rPr>
          <w:rFonts w:ascii="Times New Roman" w:hAnsi="Times New Roman" w:cs="Helvetica"/>
          <w:sz w:val="24"/>
          <w:szCs w:val="26"/>
          <w:lang w:val="en-GB"/>
        </w:rPr>
        <w:t xml:space="preserve"> unstable nature of goals as two main causal factors for the Strategy’s inability to carry out its overarching aim. Finally, it was argued that a partial success of the Strategy lies in its capacity to encourage policy learning through partial </w:t>
      </w:r>
      <w:r w:rsidR="004D4A6A" w:rsidRPr="00224AF3">
        <w:rPr>
          <w:rFonts w:ascii="Times New Roman" w:hAnsi="Times New Roman" w:cs="Helvetica"/>
          <w:sz w:val="24"/>
          <w:szCs w:val="26"/>
          <w:lang w:val="en-GB"/>
        </w:rPr>
        <w:t>Europeanization</w:t>
      </w:r>
      <w:r w:rsidRPr="00224AF3">
        <w:rPr>
          <w:rFonts w:ascii="Times New Roman" w:hAnsi="Times New Roman" w:cs="Helvetica"/>
          <w:sz w:val="24"/>
          <w:szCs w:val="26"/>
          <w:lang w:val="en-GB"/>
        </w:rPr>
        <w:t xml:space="preserve"> of policy problems. However, despite this rather minor positive development, the Lisbon Strategy is </w:t>
      </w:r>
      <w:r w:rsidR="00224AF3" w:rsidRPr="00224AF3">
        <w:rPr>
          <w:rFonts w:ascii="Times New Roman" w:hAnsi="Times New Roman" w:cs="Helvetica"/>
          <w:sz w:val="24"/>
          <w:szCs w:val="26"/>
          <w:lang w:val="en-GB"/>
        </w:rPr>
        <w:t xml:space="preserve">a </w:t>
      </w:r>
      <w:r w:rsidRPr="00224AF3">
        <w:rPr>
          <w:rFonts w:ascii="Times New Roman" w:hAnsi="Times New Roman" w:cs="Helvetica"/>
          <w:sz w:val="24"/>
          <w:szCs w:val="26"/>
          <w:lang w:val="en-GB"/>
        </w:rPr>
        <w:t>more story of failure than of success.</w:t>
      </w:r>
    </w:p>
    <w:p w:rsidR="002C24D7" w:rsidRPr="00224AF3" w:rsidRDefault="007046F7" w:rsidP="00525E06">
      <w:pPr>
        <w:pStyle w:val="NormalWeb"/>
        <w:spacing w:beforeLines="0" w:afterLines="0" w:line="360" w:lineRule="auto"/>
        <w:ind w:firstLine="720"/>
        <w:jc w:val="both"/>
        <w:rPr>
          <w:rFonts w:ascii="Times New Roman" w:hAnsi="Times New Roman" w:cs="Helvetica"/>
          <w:sz w:val="24"/>
          <w:szCs w:val="26"/>
          <w:lang w:val="en-GB"/>
        </w:rPr>
      </w:pPr>
      <w:r w:rsidRPr="00224AF3">
        <w:rPr>
          <w:rFonts w:ascii="Times New Roman" w:hAnsi="Times New Roman" w:cs="Helvetica"/>
          <w:sz w:val="24"/>
          <w:szCs w:val="26"/>
          <w:lang w:val="en-GB"/>
        </w:rPr>
        <w:t xml:space="preserve">In 2010, the EU launched a successive project of the Lisbon Strategy under the banner ‘Europe 2020’. </w:t>
      </w:r>
      <w:r w:rsidR="002C24D7" w:rsidRPr="00224AF3">
        <w:rPr>
          <w:rFonts w:ascii="Times New Roman" w:hAnsi="Times New Roman" w:cs="Helvetica"/>
          <w:sz w:val="24"/>
          <w:szCs w:val="26"/>
          <w:lang w:val="en-GB"/>
        </w:rPr>
        <w:t xml:space="preserve">Although it represents a more streamlined reform strategy, </w:t>
      </w:r>
      <w:r w:rsidR="002041E8" w:rsidRPr="00224AF3">
        <w:rPr>
          <w:rFonts w:ascii="Times New Roman" w:hAnsi="Times New Roman" w:cs="Helvetica"/>
          <w:sz w:val="24"/>
          <w:szCs w:val="26"/>
          <w:lang w:val="en-GB"/>
        </w:rPr>
        <w:t xml:space="preserve">it does not mark a radical departure from its predecessor in terms of governance architecture. The key attributes of the OMC remain untouched: the Council is still in charge of monitoring progress within the individual policy areas, while other EU institutions and non-governmental actors stay very much on the margins. </w:t>
      </w:r>
      <w:r w:rsidR="00594890" w:rsidRPr="00224AF3">
        <w:rPr>
          <w:rFonts w:ascii="Times New Roman" w:hAnsi="Times New Roman" w:cs="Helvetica"/>
          <w:sz w:val="24"/>
          <w:szCs w:val="26"/>
          <w:lang w:val="en-GB"/>
        </w:rPr>
        <w:t xml:space="preserve">Furthermore, there is no intention for the publishing of league tables that would enhance the role of peer review. Finally, with a mid-term review, it is possible that the political priorities of the EU’s long-term </w:t>
      </w:r>
      <w:r w:rsidR="00525E06" w:rsidRPr="00224AF3">
        <w:rPr>
          <w:rFonts w:ascii="Times New Roman" w:hAnsi="Times New Roman" w:cs="Helvetica"/>
          <w:sz w:val="24"/>
          <w:szCs w:val="26"/>
          <w:lang w:val="en-GB"/>
        </w:rPr>
        <w:t>commitm</w:t>
      </w:r>
      <w:r w:rsidR="00224AF3" w:rsidRPr="00224AF3">
        <w:rPr>
          <w:rFonts w:ascii="Times New Roman" w:hAnsi="Times New Roman" w:cs="Helvetica"/>
          <w:sz w:val="24"/>
          <w:szCs w:val="26"/>
          <w:lang w:val="en-GB"/>
        </w:rPr>
        <w:t>ent will shift</w:t>
      </w:r>
      <w:r w:rsidR="00525E06" w:rsidRPr="00224AF3">
        <w:rPr>
          <w:rFonts w:ascii="Times New Roman" w:hAnsi="Times New Roman" w:cs="Helvetica"/>
          <w:sz w:val="24"/>
          <w:szCs w:val="26"/>
          <w:lang w:val="en-GB"/>
        </w:rPr>
        <w:t xml:space="preserve"> once again (Copeland 2012: 237).</w:t>
      </w:r>
      <w:r w:rsidR="00594890" w:rsidRPr="00224AF3">
        <w:rPr>
          <w:rFonts w:ascii="Times New Roman" w:hAnsi="Times New Roman" w:cs="Helvetica"/>
          <w:sz w:val="24"/>
          <w:szCs w:val="26"/>
          <w:lang w:val="en-GB"/>
        </w:rPr>
        <w:t xml:space="preserve"> Therefore, the crucial task for the new </w:t>
      </w:r>
      <w:r w:rsidR="002C24D7" w:rsidRPr="00224AF3">
        <w:rPr>
          <w:rFonts w:ascii="Times New Roman" w:hAnsi="Times New Roman" w:cs="Helvetica"/>
          <w:sz w:val="24"/>
          <w:szCs w:val="26"/>
          <w:lang w:val="en-GB"/>
        </w:rPr>
        <w:t xml:space="preserve">European </w:t>
      </w:r>
      <w:r w:rsidR="00594890" w:rsidRPr="00224AF3">
        <w:rPr>
          <w:rFonts w:ascii="Times New Roman" w:hAnsi="Times New Roman" w:cs="Helvetica"/>
          <w:sz w:val="24"/>
          <w:szCs w:val="26"/>
          <w:lang w:val="en-GB"/>
        </w:rPr>
        <w:t xml:space="preserve">reform strategy </w:t>
      </w:r>
      <w:r w:rsidR="002C24D7" w:rsidRPr="00224AF3">
        <w:rPr>
          <w:rFonts w:ascii="Times New Roman" w:hAnsi="Times New Roman" w:cs="Helvetica"/>
          <w:sz w:val="24"/>
          <w:szCs w:val="26"/>
          <w:lang w:val="en-GB"/>
        </w:rPr>
        <w:t>is</w:t>
      </w:r>
      <w:r w:rsidR="00594890" w:rsidRPr="00224AF3">
        <w:rPr>
          <w:rFonts w:ascii="Times New Roman" w:hAnsi="Times New Roman" w:cs="Helvetica"/>
          <w:sz w:val="24"/>
          <w:szCs w:val="26"/>
          <w:lang w:val="en-GB"/>
        </w:rPr>
        <w:t xml:space="preserve"> to ensure that it will not represent a mere name change from its </w:t>
      </w:r>
      <w:r w:rsidR="00525E06" w:rsidRPr="00224AF3">
        <w:rPr>
          <w:rFonts w:ascii="Times New Roman" w:hAnsi="Times New Roman" w:cs="Helvetica"/>
          <w:sz w:val="24"/>
          <w:szCs w:val="26"/>
          <w:lang w:val="en-GB"/>
        </w:rPr>
        <w:t>forerunner</w:t>
      </w:r>
      <w:r w:rsidR="002C24D7" w:rsidRPr="00224AF3">
        <w:rPr>
          <w:rFonts w:ascii="Times New Roman" w:hAnsi="Times New Roman" w:cs="Helvetica"/>
          <w:sz w:val="24"/>
          <w:szCs w:val="26"/>
          <w:lang w:val="en-GB"/>
        </w:rPr>
        <w:t>, but that there are tangible changes visible.</w:t>
      </w:r>
    </w:p>
    <w:p w:rsidR="00AE1D52" w:rsidRDefault="00AE1D52" w:rsidP="00AE1D52">
      <w:pPr>
        <w:pStyle w:val="NormalWeb"/>
        <w:spacing w:beforeLines="0" w:afterLines="0" w:line="480" w:lineRule="auto"/>
        <w:jc w:val="both"/>
        <w:outlineLvl w:val="0"/>
        <w:rPr>
          <w:rFonts w:ascii="Times New Roman" w:hAnsi="Times New Roman" w:cs="Helvetica"/>
          <w:b/>
          <w:sz w:val="24"/>
          <w:szCs w:val="26"/>
          <w:lang w:val="en-GB"/>
        </w:rPr>
      </w:pPr>
    </w:p>
    <w:p w:rsidR="00AE1D52" w:rsidRDefault="00AE1D52" w:rsidP="00AE1D52">
      <w:pPr>
        <w:pStyle w:val="NormalWeb"/>
        <w:spacing w:beforeLines="0" w:afterLines="0" w:line="480" w:lineRule="auto"/>
        <w:jc w:val="both"/>
        <w:outlineLvl w:val="0"/>
        <w:rPr>
          <w:rFonts w:ascii="Times New Roman" w:hAnsi="Times New Roman" w:cs="Helvetica"/>
          <w:b/>
          <w:sz w:val="24"/>
          <w:szCs w:val="26"/>
          <w:lang w:val="en-GB"/>
        </w:rPr>
      </w:pPr>
    </w:p>
    <w:p w:rsidR="00AE1D52" w:rsidRDefault="00AE1D52" w:rsidP="00AE1D52">
      <w:pPr>
        <w:pStyle w:val="NormalWeb"/>
        <w:spacing w:beforeLines="0" w:afterLines="0" w:line="480" w:lineRule="auto"/>
        <w:jc w:val="both"/>
        <w:outlineLvl w:val="0"/>
        <w:rPr>
          <w:rFonts w:ascii="Times New Roman" w:hAnsi="Times New Roman" w:cs="Helvetica"/>
          <w:b/>
          <w:sz w:val="24"/>
          <w:szCs w:val="26"/>
          <w:lang w:val="en-GB"/>
        </w:rPr>
      </w:pPr>
    </w:p>
    <w:p w:rsidR="00AE1D52" w:rsidRDefault="00AE1D52" w:rsidP="00AE1D52">
      <w:pPr>
        <w:pStyle w:val="NormalWeb"/>
        <w:spacing w:beforeLines="0" w:afterLines="0" w:line="480" w:lineRule="auto"/>
        <w:jc w:val="both"/>
        <w:outlineLvl w:val="0"/>
        <w:rPr>
          <w:rFonts w:ascii="Times New Roman" w:hAnsi="Times New Roman" w:cs="Helvetica"/>
          <w:b/>
          <w:sz w:val="24"/>
          <w:szCs w:val="26"/>
          <w:lang w:val="en-GB"/>
        </w:rPr>
      </w:pPr>
    </w:p>
    <w:p w:rsidR="0041372D" w:rsidRPr="00224AF3" w:rsidRDefault="0041372D" w:rsidP="00AE1D52">
      <w:pPr>
        <w:pStyle w:val="NormalWeb"/>
        <w:spacing w:beforeLines="0" w:afterLines="0" w:line="480" w:lineRule="auto"/>
        <w:jc w:val="both"/>
        <w:outlineLvl w:val="0"/>
        <w:rPr>
          <w:rFonts w:ascii="Times New Roman" w:hAnsi="Times New Roman" w:cs="Helvetica"/>
          <w:b/>
          <w:sz w:val="24"/>
          <w:szCs w:val="26"/>
          <w:lang w:val="en-GB"/>
        </w:rPr>
      </w:pPr>
    </w:p>
    <w:p w:rsidR="0041372D" w:rsidRPr="00AE1D52" w:rsidRDefault="00AE1D52" w:rsidP="00AE1D52">
      <w:pPr>
        <w:pStyle w:val="NormalWeb"/>
        <w:spacing w:beforeLines="0" w:afterLines="0" w:line="480" w:lineRule="auto"/>
        <w:ind w:firstLine="231"/>
        <w:jc w:val="center"/>
        <w:rPr>
          <w:rFonts w:ascii="Times New Roman" w:hAnsi="Times New Roman" w:cs="Helvetica"/>
          <w:b/>
          <w:sz w:val="24"/>
          <w:szCs w:val="26"/>
          <w:lang w:val="en-GB"/>
        </w:rPr>
      </w:pPr>
      <w:r w:rsidRPr="00AE1D52">
        <w:rPr>
          <w:rFonts w:ascii="Times New Roman" w:hAnsi="Times New Roman" w:cs="Helvetica"/>
          <w:b/>
          <w:sz w:val="24"/>
          <w:szCs w:val="26"/>
          <w:lang w:val="en-GB"/>
        </w:rPr>
        <w:lastRenderedPageBreak/>
        <w:t>Bibliography</w:t>
      </w:r>
    </w:p>
    <w:p w:rsidR="00B90BD7" w:rsidRPr="00224AF3" w:rsidRDefault="00B90BD7" w:rsidP="00224AF3">
      <w:pPr>
        <w:pStyle w:val="NormalWeb"/>
        <w:spacing w:beforeLines="0" w:afterLines="0"/>
        <w:ind w:left="426" w:hanging="426"/>
        <w:rPr>
          <w:rFonts w:ascii="Times New Roman" w:hAnsi="Times New Roman"/>
          <w:sz w:val="24"/>
        </w:rPr>
      </w:pPr>
      <w:r w:rsidRPr="00224AF3">
        <w:rPr>
          <w:rFonts w:ascii="Times New Roman" w:hAnsi="Times New Roman"/>
          <w:sz w:val="24"/>
        </w:rPr>
        <w:t xml:space="preserve">Bulmer, S. (2012) </w:t>
      </w:r>
      <w:r w:rsidRPr="00224AF3">
        <w:rPr>
          <w:rFonts w:ascii="Times New Roman" w:hAnsi="Times New Roman"/>
          <w:sz w:val="24"/>
          <w:szCs w:val="36"/>
        </w:rPr>
        <w:t xml:space="preserve">Governing the Lisbon Strategy: Uncertain Governancein Turbulent Economic Times. </w:t>
      </w:r>
      <w:r w:rsidRPr="00224AF3">
        <w:rPr>
          <w:rFonts w:ascii="Times New Roman" w:hAnsi="Times New Roman"/>
          <w:sz w:val="24"/>
        </w:rPr>
        <w:t xml:space="preserve">In: Copeland, P. and Papadimitriou, D. (eds.) </w:t>
      </w:r>
      <w:r w:rsidRPr="00224AF3">
        <w:rPr>
          <w:rFonts w:ascii="Times New Roman" w:hAnsi="Times New Roman"/>
          <w:i/>
          <w:sz w:val="24"/>
        </w:rPr>
        <w:t>The EU’s Lisbon Strategy: Evaluating Success, Understanding Failure</w:t>
      </w:r>
      <w:r w:rsidRPr="00224AF3">
        <w:rPr>
          <w:rFonts w:ascii="Times New Roman" w:hAnsi="Times New Roman"/>
          <w:sz w:val="24"/>
        </w:rPr>
        <w:t xml:space="preserve">. London: Palgrave Macmillan: </w:t>
      </w:r>
      <w:r w:rsidRPr="00224AF3">
        <w:rPr>
          <w:rFonts w:ascii="Times New Roman" w:hAnsi="Times New Roman"/>
          <w:sz w:val="24"/>
          <w:szCs w:val="36"/>
        </w:rPr>
        <w:t>29-49.</w:t>
      </w:r>
    </w:p>
    <w:p w:rsidR="00B90BD7" w:rsidRPr="00224AF3" w:rsidRDefault="00B90BD7" w:rsidP="00224AF3">
      <w:pPr>
        <w:pStyle w:val="NormalWeb"/>
        <w:spacing w:beforeLines="0" w:afterLines="0"/>
        <w:ind w:left="426" w:hanging="426"/>
        <w:rPr>
          <w:rFonts w:ascii="Times New Roman" w:hAnsi="Times New Roman"/>
          <w:sz w:val="24"/>
        </w:rPr>
      </w:pPr>
      <w:r w:rsidRPr="00224AF3">
        <w:rPr>
          <w:rFonts w:ascii="Times New Roman" w:hAnsi="Times New Roman"/>
          <w:sz w:val="24"/>
        </w:rPr>
        <w:t xml:space="preserve">Borrás, S. and Radaelli, C.M. (2010) ‘Recalibrating the Open Method of Coordination: Towards Diverse and More Effective Usages’. </w:t>
      </w:r>
      <w:r w:rsidRPr="00224AF3">
        <w:rPr>
          <w:rFonts w:ascii="Times New Roman" w:hAnsi="Times New Roman"/>
          <w:i/>
          <w:iCs/>
          <w:sz w:val="24"/>
        </w:rPr>
        <w:t>Swedish Institute for European Policy Studies (SIEPS)</w:t>
      </w:r>
      <w:r w:rsidRPr="00224AF3">
        <w:rPr>
          <w:rFonts w:ascii="Times New Roman" w:hAnsi="Times New Roman"/>
          <w:sz w:val="24"/>
        </w:rPr>
        <w:t>. Available at: http://www.sieps.se/sites/default/files/2010_7.pdf  [accessed 2nd January 2013]</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Büchs, M. and Friedrich, D. (2005) ‘Surface Integration: The National Action Plans for employment and social inclusion in Germany'. In: Zeitlin, J., Pochet, P. and Magnusson, L. (eds.) </w:t>
      </w:r>
      <w:r w:rsidRPr="00224AF3">
        <w:rPr>
          <w:rFonts w:ascii="Times New Roman" w:hAnsi="Times New Roman"/>
          <w:i/>
        </w:rPr>
        <w:t>The Open Method of Co-ordination in Action. The European Employment and Social Inclusion Strategies</w:t>
      </w:r>
      <w:r w:rsidRPr="00224AF3">
        <w:rPr>
          <w:rFonts w:ascii="Times New Roman" w:hAnsi="Times New Roman"/>
        </w:rPr>
        <w:t>. Brussels: Peter Lang: 249-285</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Caracostas, P. (2003) ‘Sharing Visions: Towards a European Area for Foresight’. Brussels: European Commission.</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Collignon, et al. (2005) ‘The Lisbon Strategy and the Open Method of Coordination’. </w:t>
      </w:r>
      <w:r w:rsidRPr="00224AF3">
        <w:rPr>
          <w:rFonts w:ascii="Times New Roman" w:hAnsi="Times New Roman"/>
          <w:i/>
        </w:rPr>
        <w:t>Policy Paper no. 12</w:t>
      </w:r>
      <w:r w:rsidRPr="00224AF3">
        <w:rPr>
          <w:rFonts w:ascii="Times New Roman" w:hAnsi="Times New Roman"/>
        </w:rPr>
        <w:t xml:space="preserve">. Brussels: </w:t>
      </w:r>
      <w:r w:rsidRPr="00224AF3">
        <w:rPr>
          <w:rFonts w:ascii="Times New Roman" w:hAnsi="Times New Roman"/>
          <w:iCs/>
        </w:rPr>
        <w:t>Notre Europe.</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Collignon, S. (2008) ‘The Lisbon strategy, macroeconomic stability and  the dilemma of governance with governments; or why Europe is not becoming the world’s most dynamic economy’. </w:t>
      </w:r>
      <w:r w:rsidRPr="00224AF3">
        <w:rPr>
          <w:rFonts w:ascii="Times New Roman" w:hAnsi="Times New Roman"/>
          <w:i/>
        </w:rPr>
        <w:t>International Journal of Public Policy</w:t>
      </w:r>
      <w:r w:rsidRPr="00224AF3">
        <w:rPr>
          <w:rFonts w:ascii="Times New Roman" w:hAnsi="Times New Roman"/>
        </w:rPr>
        <w:t xml:space="preserve"> 3 (1,2): 72-99.</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Copeland, P. (2012) ‘Conclusion: The Lisbon Strategy – Evaluating Success and Understanding Failure’. In: Copeland, P. and Papadimitriou, D. (eds.) </w:t>
      </w:r>
      <w:r w:rsidRPr="00224AF3">
        <w:rPr>
          <w:rFonts w:ascii="Times New Roman" w:hAnsi="Times New Roman"/>
          <w:i/>
        </w:rPr>
        <w:t>The EU’s Lisbon Strategy: Evaluating Success, Understanding Failure</w:t>
      </w:r>
      <w:r w:rsidRPr="00224AF3">
        <w:rPr>
          <w:rFonts w:ascii="Times New Roman" w:hAnsi="Times New Roman"/>
        </w:rPr>
        <w:t>. London: Palgrave Macmillan: 229-237.</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Daly (2012) ‘Social Inclusion and the Lisbon Strategy’.</w:t>
      </w:r>
      <w:r w:rsidRPr="00224AF3">
        <w:rPr>
          <w:rFonts w:ascii="Times New Roman" w:hAnsi="Times New Roman"/>
          <w:i/>
        </w:rPr>
        <w:t xml:space="preserve"> </w:t>
      </w:r>
      <w:r w:rsidRPr="00224AF3">
        <w:rPr>
          <w:rFonts w:ascii="Times New Roman" w:hAnsi="Times New Roman"/>
        </w:rPr>
        <w:t xml:space="preserve">In: Copeland, P. and Papadimitriou, D. (eds.) </w:t>
      </w:r>
      <w:r w:rsidRPr="00224AF3">
        <w:rPr>
          <w:rFonts w:ascii="Times New Roman" w:hAnsi="Times New Roman"/>
          <w:i/>
        </w:rPr>
        <w:t>The EU’s Lisbon Strategy: Evaluating Success, Understanding Failure</w:t>
      </w:r>
      <w:r w:rsidRPr="00224AF3">
        <w:rPr>
          <w:rFonts w:ascii="Times New Roman" w:hAnsi="Times New Roman"/>
        </w:rPr>
        <w:t>. London: Palgrave Macmillan: 76-97.</w:t>
      </w:r>
    </w:p>
    <w:p w:rsidR="00B90BD7" w:rsidRPr="00224AF3" w:rsidRDefault="00B90BD7" w:rsidP="00224AF3">
      <w:pPr>
        <w:pStyle w:val="NormalWeb"/>
        <w:spacing w:beforeLines="0" w:afterLines="0"/>
        <w:ind w:left="426" w:hanging="426"/>
        <w:rPr>
          <w:rFonts w:ascii="Times New Roman" w:hAnsi="Times New Roman"/>
          <w:sz w:val="24"/>
        </w:rPr>
      </w:pPr>
      <w:r w:rsidRPr="00224AF3">
        <w:rPr>
          <w:rFonts w:ascii="Times New Roman" w:hAnsi="Times New Roman"/>
          <w:sz w:val="24"/>
        </w:rPr>
        <w:t xml:space="preserve">De la Porte, C., Pochet, P. and Room, G. (2001) ‘Social benchmarking, policy making and new governance in the EU’. </w:t>
      </w:r>
      <w:r w:rsidRPr="00224AF3">
        <w:rPr>
          <w:rFonts w:ascii="Times New Roman" w:hAnsi="Times New Roman"/>
          <w:i/>
          <w:iCs/>
          <w:sz w:val="24"/>
        </w:rPr>
        <w:t xml:space="preserve">Journal of European Social Policy </w:t>
      </w:r>
      <w:r w:rsidRPr="00224AF3">
        <w:rPr>
          <w:rFonts w:ascii="Times New Roman" w:hAnsi="Times New Roman"/>
          <w:sz w:val="24"/>
        </w:rPr>
        <w:t>11 (4): 291-307.</w:t>
      </w:r>
    </w:p>
    <w:p w:rsidR="00B90BD7" w:rsidRPr="00224AF3" w:rsidRDefault="00B90BD7" w:rsidP="00224AF3">
      <w:pPr>
        <w:spacing w:after="120"/>
        <w:ind w:left="426" w:hanging="426"/>
        <w:rPr>
          <w:rFonts w:ascii="Times New Roman" w:hAnsi="Times New Roman"/>
        </w:rPr>
      </w:pPr>
      <w:r w:rsidRPr="00224AF3">
        <w:rPr>
          <w:rFonts w:ascii="Times New Roman" w:hAnsi="Times New Roman" w:cs="Helvetica"/>
          <w:szCs w:val="26"/>
        </w:rPr>
        <w:t xml:space="preserve">Dyson, K. and Quaglia, L. (2012) ‘Economic Monetary Union and the Lisbon Strategy’. </w:t>
      </w:r>
      <w:r w:rsidRPr="00224AF3">
        <w:rPr>
          <w:rFonts w:ascii="Times New Roman" w:hAnsi="Times New Roman"/>
        </w:rPr>
        <w:t xml:space="preserve">In: Copeland, P. and Papadimitriou, D. (eds.) </w:t>
      </w:r>
      <w:r w:rsidRPr="00224AF3">
        <w:rPr>
          <w:rFonts w:ascii="Times New Roman" w:hAnsi="Times New Roman"/>
          <w:i/>
        </w:rPr>
        <w:t>The EU’s Lisbon Strategy: Evaluating Success, Understanding Failure</w:t>
      </w:r>
      <w:r w:rsidRPr="00224AF3">
        <w:rPr>
          <w:rFonts w:ascii="Times New Roman" w:hAnsi="Times New Roman"/>
        </w:rPr>
        <w:t>. London: Palgrave Macmillan: 185-205.</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Edler, J. (2012) ‘Research and Innovation and the Lisbon Strategy’. In: Copeland, P. and Papadimitriou, D. (eds.) </w:t>
      </w:r>
      <w:r w:rsidRPr="00224AF3">
        <w:rPr>
          <w:rFonts w:ascii="Times New Roman" w:hAnsi="Times New Roman"/>
          <w:i/>
        </w:rPr>
        <w:t>The EU’s Lisbon Strategy: Evaluating Success, Understanding Failure</w:t>
      </w:r>
      <w:r w:rsidRPr="00224AF3">
        <w:rPr>
          <w:rFonts w:ascii="Times New Roman" w:hAnsi="Times New Roman"/>
        </w:rPr>
        <w:t>. London: Palgrave Macmillan: 168-188.</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European Trade Union Confederation (2012) ‘Economic and Employment Policies – Europe 2020’. Available at: http://www.etuc.org/r/6 [accessed 2nd January 2013]</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European Commission (2010) </w:t>
      </w:r>
      <w:r w:rsidRPr="00224AF3">
        <w:rPr>
          <w:rFonts w:ascii="Times New Roman" w:hAnsi="Times New Roman"/>
          <w:i/>
          <w:iCs/>
        </w:rPr>
        <w:t>Lisbon Strategy Evaluation Document by Commission Staff</w:t>
      </w:r>
      <w:r w:rsidRPr="00224AF3">
        <w:rPr>
          <w:rFonts w:ascii="Times New Roman" w:hAnsi="Times New Roman"/>
        </w:rPr>
        <w:t>. Brussels: European Commission.</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European Council (2000) ‘Lisbon European Council - Presidency Conclusions’. Available at: http://www.consilium.europa.eu/uedocs/cms_data/docs/pressdata/en/ec/00100-r1.en0.htm [accessed 4th December 2012]</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lastRenderedPageBreak/>
        <w:t xml:space="preserve">European Council (2001) ‘Treaty of Nice Amending the Treaty on European Union, the Treaties Establishing the European Communities and Certain Related Acts’. </w:t>
      </w:r>
      <w:r w:rsidRPr="00224AF3">
        <w:rPr>
          <w:rFonts w:ascii="Times New Roman" w:hAnsi="Times New Roman"/>
          <w:i/>
        </w:rPr>
        <w:t>Official Journal of the European Communities</w:t>
      </w:r>
      <w:r w:rsidRPr="00224AF3">
        <w:rPr>
          <w:rFonts w:ascii="Times New Roman" w:hAnsi="Times New Roman"/>
        </w:rPr>
        <w:t xml:space="preserve">. C/80/01. </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Eurostat (2005) ‘Provisions of deficit and debt data for 2004’. Available at: http://europa.eu/rapid/press-release_STAT-05-120_en.htm [Accessed 1st January 2012]</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Eurostat (2012) ‘Gross domestic expenditure on R&amp;D (GERD) as a percentage of GDP’. Available at: http://epp.eurostat.ec.europa.eu/tgm/table.do?tab=table&amp;init=1&amp;language=en&amp;pcode=t2020_20&amp;plugin=0 [accessed 25</w:t>
      </w:r>
      <w:r w:rsidRPr="00224AF3">
        <w:rPr>
          <w:rFonts w:ascii="Times New Roman" w:hAnsi="Times New Roman"/>
          <w:vertAlign w:val="superscript"/>
        </w:rPr>
        <w:t>th</w:t>
      </w:r>
      <w:r w:rsidRPr="00224AF3">
        <w:rPr>
          <w:rFonts w:ascii="Times New Roman" w:hAnsi="Times New Roman"/>
        </w:rPr>
        <w:t xml:space="preserve"> November 2012]</w:t>
      </w:r>
    </w:p>
    <w:p w:rsidR="00B90BD7" w:rsidRPr="00224AF3" w:rsidRDefault="00B90BD7" w:rsidP="00224AF3">
      <w:pPr>
        <w:pStyle w:val="NormalWeb"/>
        <w:spacing w:beforeLines="0" w:afterLines="0"/>
        <w:ind w:left="426" w:hanging="426"/>
        <w:rPr>
          <w:rFonts w:ascii="Times New Roman" w:hAnsi="Times New Roman"/>
          <w:sz w:val="24"/>
        </w:rPr>
      </w:pPr>
      <w:r w:rsidRPr="00224AF3">
        <w:rPr>
          <w:rFonts w:ascii="Times New Roman" w:hAnsi="Times New Roman"/>
          <w:sz w:val="24"/>
        </w:rPr>
        <w:t xml:space="preserve">Heidenreich, M. and Zeitlin, J., eds. (2009) </w:t>
      </w:r>
      <w:r w:rsidRPr="00224AF3">
        <w:rPr>
          <w:rFonts w:ascii="Times New Roman" w:hAnsi="Times New Roman"/>
          <w:i/>
          <w:iCs/>
          <w:sz w:val="24"/>
        </w:rPr>
        <w:t>Changing European Employment and Welfare Regimes: The Influence of the Open Method of Coordination on National Reforms.</w:t>
      </w:r>
      <w:r w:rsidRPr="00224AF3">
        <w:rPr>
          <w:rFonts w:ascii="Times New Roman" w:hAnsi="Times New Roman"/>
          <w:iCs/>
          <w:sz w:val="24"/>
        </w:rPr>
        <w:t xml:space="preserve"> </w:t>
      </w:r>
      <w:r w:rsidRPr="00224AF3">
        <w:rPr>
          <w:rFonts w:ascii="Times New Roman" w:hAnsi="Times New Roman"/>
          <w:sz w:val="24"/>
        </w:rPr>
        <w:t xml:space="preserve">London, Routledge. </w:t>
      </w:r>
    </w:p>
    <w:p w:rsidR="00B90BD7" w:rsidRPr="00224AF3" w:rsidRDefault="00B90BD7" w:rsidP="00224AF3">
      <w:pPr>
        <w:spacing w:after="120"/>
        <w:ind w:left="426" w:hanging="426"/>
        <w:rPr>
          <w:rFonts w:ascii="Times New Roman" w:hAnsi="Times New Roman" w:cs="Helvetica"/>
          <w:szCs w:val="26"/>
          <w:lang w:val="en-GB"/>
        </w:rPr>
      </w:pPr>
      <w:r w:rsidRPr="00224AF3">
        <w:rPr>
          <w:rFonts w:ascii="Times New Roman" w:hAnsi="Times New Roman" w:cs="Helvetica"/>
          <w:szCs w:val="26"/>
          <w:lang w:val="en-GB"/>
        </w:rPr>
        <w:t xml:space="preserve">Innovation Union (2010) </w:t>
      </w:r>
      <w:r w:rsidRPr="00224AF3">
        <w:rPr>
          <w:rFonts w:ascii="Times New Roman" w:hAnsi="Times New Roman" w:cs="Helvetica"/>
          <w:i/>
          <w:szCs w:val="26"/>
          <w:lang w:val="en-GB"/>
        </w:rPr>
        <w:t>Innovation Union Scoreboard</w:t>
      </w:r>
      <w:r w:rsidRPr="00224AF3">
        <w:rPr>
          <w:rFonts w:ascii="Times New Roman" w:hAnsi="Times New Roman" w:cs="Helvetica"/>
          <w:szCs w:val="26"/>
          <w:lang w:val="en-GB"/>
        </w:rPr>
        <w:t xml:space="preserve"> </w:t>
      </w:r>
      <w:r w:rsidRPr="00224AF3">
        <w:rPr>
          <w:rFonts w:ascii="Times New Roman" w:hAnsi="Times New Roman" w:cs="Helvetica"/>
          <w:i/>
          <w:szCs w:val="26"/>
          <w:lang w:val="en-GB"/>
        </w:rPr>
        <w:t>2010.</w:t>
      </w:r>
      <w:r w:rsidR="00224AF3" w:rsidRPr="00224AF3">
        <w:rPr>
          <w:rFonts w:ascii="Times New Roman" w:hAnsi="Times New Roman" w:cs="Helvetica"/>
          <w:szCs w:val="26"/>
          <w:lang w:val="en-GB"/>
        </w:rPr>
        <w:t xml:space="preserve"> Available at: </w:t>
      </w:r>
      <w:hyperlink r:id="rId6" w:history="1">
        <w:r w:rsidRPr="00224AF3">
          <w:rPr>
            <w:rStyle w:val="Hipervnculo"/>
            <w:rFonts w:ascii="Times New Roman" w:hAnsi="Times New Roman"/>
            <w:color w:val="auto"/>
            <w:u w:val="none"/>
          </w:rPr>
          <w:t>http://ec.europa.eu/research/innovation-union/pdf/iu-scoreboard-2010_en.pdf</w:t>
        </w:r>
      </w:hyperlink>
      <w:r w:rsidRPr="00224AF3">
        <w:rPr>
          <w:rFonts w:ascii="Times New Roman" w:hAnsi="Times New Roman"/>
        </w:rPr>
        <w:t xml:space="preserve"> [accessed 23rd November 2012]</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James, S. (2012) ‘The Origins and Evolution of the Lisbon Agenda’. In: Copeland, P. and Papadimitriou, D. (eds.) </w:t>
      </w:r>
      <w:r w:rsidRPr="00224AF3">
        <w:rPr>
          <w:rFonts w:ascii="Times New Roman" w:hAnsi="Times New Roman"/>
          <w:i/>
        </w:rPr>
        <w:t>The EU’s Lisbon Strategy: Evaluating Success, Understanding Failure</w:t>
      </w:r>
      <w:r w:rsidRPr="00224AF3">
        <w:rPr>
          <w:rFonts w:ascii="Times New Roman" w:hAnsi="Times New Roman"/>
        </w:rPr>
        <w:t>. London: Palgrave Macmillan: 8-28.</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Kok, W. (2004) ‘</w:t>
      </w:r>
      <w:r w:rsidRPr="00224AF3">
        <w:rPr>
          <w:rFonts w:ascii="Times New Roman" w:hAnsi="Times New Roman"/>
          <w:iCs/>
        </w:rPr>
        <w:t>Facing the Challenge: The Lisbon Strategy for Growth and Employment’</w:t>
      </w:r>
      <w:r w:rsidRPr="00224AF3">
        <w:rPr>
          <w:rFonts w:ascii="Times New Roman" w:hAnsi="Times New Roman"/>
        </w:rPr>
        <w:t xml:space="preserve">. </w:t>
      </w:r>
      <w:r w:rsidRPr="00224AF3">
        <w:rPr>
          <w:rFonts w:ascii="Times New Roman" w:hAnsi="Times New Roman"/>
          <w:i/>
        </w:rPr>
        <w:t>Report from the High Level Group chaired by Wim Kok</w:t>
      </w:r>
      <w:r w:rsidRPr="00224AF3">
        <w:rPr>
          <w:rFonts w:ascii="Times New Roman" w:hAnsi="Times New Roman"/>
        </w:rPr>
        <w:t xml:space="preserve">. Luxembourg: Office for Official publications of the European Communities. </w:t>
      </w:r>
    </w:p>
    <w:p w:rsidR="00B90BD7" w:rsidRPr="00224AF3" w:rsidRDefault="00B90BD7" w:rsidP="00224AF3">
      <w:pPr>
        <w:pStyle w:val="NormalWeb"/>
        <w:spacing w:beforeLines="0" w:afterLines="0"/>
        <w:ind w:left="426" w:hanging="426"/>
        <w:rPr>
          <w:rFonts w:ascii="Times New Roman" w:hAnsi="Times New Roman"/>
          <w:sz w:val="24"/>
        </w:rPr>
      </w:pPr>
      <w:r w:rsidRPr="00224AF3">
        <w:rPr>
          <w:rFonts w:ascii="Times New Roman" w:hAnsi="Times New Roman"/>
          <w:sz w:val="24"/>
        </w:rPr>
        <w:t>Lopéz-Santana (2006) ‘</w:t>
      </w:r>
      <w:r w:rsidRPr="00224AF3">
        <w:rPr>
          <w:rFonts w:ascii="Times New Roman" w:hAnsi="Times New Roman"/>
          <w:sz w:val="24"/>
          <w:szCs w:val="40"/>
        </w:rPr>
        <w:t xml:space="preserve">The domestic implications of European soft law: framing and transmitting change in employment policy‘. </w:t>
      </w:r>
      <w:r w:rsidRPr="00224AF3">
        <w:rPr>
          <w:rFonts w:ascii="Times New Roman" w:hAnsi="Times New Roman"/>
          <w:i/>
          <w:sz w:val="24"/>
          <w:szCs w:val="40"/>
        </w:rPr>
        <w:t xml:space="preserve">Journal of European Public Policy </w:t>
      </w:r>
      <w:r w:rsidRPr="00224AF3">
        <w:rPr>
          <w:rFonts w:ascii="Times New Roman" w:hAnsi="Times New Roman"/>
          <w:sz w:val="24"/>
          <w:szCs w:val="40"/>
        </w:rPr>
        <w:t>13 (4): 481-499.</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Papadimitriou, D. (2012) ‘Introduction’. In: Copeland, P. and Papadimitriou, D. (eds.) </w:t>
      </w:r>
      <w:r w:rsidRPr="00224AF3">
        <w:rPr>
          <w:rFonts w:ascii="Times New Roman" w:hAnsi="Times New Roman"/>
          <w:i/>
        </w:rPr>
        <w:t>The EU’s Lisbon Strategy: Evaluating Success, Understanding Failure</w:t>
      </w:r>
      <w:r w:rsidRPr="00224AF3">
        <w:rPr>
          <w:rFonts w:ascii="Times New Roman" w:hAnsi="Times New Roman"/>
        </w:rPr>
        <w:t>. London: Palgrave Macmillan: 1-7.</w:t>
      </w:r>
    </w:p>
    <w:p w:rsidR="00B90BD7" w:rsidRPr="00224AF3" w:rsidRDefault="00B90BD7" w:rsidP="00224AF3">
      <w:pPr>
        <w:shd w:val="clear" w:color="auto" w:fill="FFFFFF"/>
        <w:spacing w:after="120"/>
        <w:ind w:left="426" w:hanging="426"/>
        <w:textAlignment w:val="baseline"/>
        <w:outlineLvl w:val="2"/>
        <w:rPr>
          <w:rFonts w:ascii="Times New Roman" w:hAnsi="Times New Roman"/>
          <w:bCs/>
          <w:szCs w:val="19"/>
        </w:rPr>
      </w:pPr>
      <w:bookmarkStart w:id="0" w:name="publicationsite"/>
      <w:r w:rsidRPr="00224AF3">
        <w:rPr>
          <w:rFonts w:ascii="Times New Roman" w:hAnsi="Times New Roman"/>
          <w:bCs/>
          <w:szCs w:val="19"/>
        </w:rPr>
        <w:t xml:space="preserve">Puslecki, L. (2007) </w:t>
      </w:r>
      <w:r w:rsidRPr="00224AF3">
        <w:rPr>
          <w:rFonts w:ascii="Times New Roman" w:hAnsi="Times New Roman"/>
          <w:bCs/>
        </w:rPr>
        <w:t>‘The Lisbon Strategy: European Union's competitiveness against that of the United States of America in the process of globalisation of contemporary world economy</w:t>
      </w:r>
      <w:bookmarkEnd w:id="0"/>
      <w:r w:rsidRPr="00224AF3">
        <w:rPr>
          <w:rFonts w:ascii="Times New Roman" w:hAnsi="Times New Roman"/>
          <w:bCs/>
        </w:rPr>
        <w:t>’</w:t>
      </w:r>
      <w:r w:rsidRPr="00224AF3">
        <w:rPr>
          <w:rFonts w:ascii="Times New Roman" w:hAnsi="Times New Roman"/>
          <w:bCs/>
          <w:szCs w:val="19"/>
        </w:rPr>
        <w:t>. Berlin: Europäische Akademie.</w:t>
      </w:r>
    </w:p>
    <w:p w:rsidR="00B90BD7" w:rsidRPr="00224AF3" w:rsidRDefault="00B90BD7" w:rsidP="00224AF3">
      <w:pPr>
        <w:pStyle w:val="NormalWeb"/>
        <w:spacing w:beforeLines="0" w:afterLines="0"/>
        <w:ind w:left="426" w:hanging="426"/>
        <w:rPr>
          <w:rFonts w:ascii="Times New Roman" w:hAnsi="Times New Roman"/>
          <w:sz w:val="24"/>
        </w:rPr>
      </w:pPr>
      <w:r w:rsidRPr="00224AF3">
        <w:rPr>
          <w:rFonts w:ascii="Times New Roman" w:hAnsi="Times New Roman"/>
          <w:sz w:val="24"/>
        </w:rPr>
        <w:t xml:space="preserve">Radaelli, C. M. (2008) ‘Europeanization, Policy Learning, and New Modes of Governance’. </w:t>
      </w:r>
      <w:r w:rsidRPr="00224AF3">
        <w:rPr>
          <w:rFonts w:ascii="Times New Roman" w:hAnsi="Times New Roman"/>
          <w:i/>
          <w:iCs/>
          <w:sz w:val="24"/>
        </w:rPr>
        <w:t xml:space="preserve">Journal of Comparative Policy Analysis: Research and Practice </w:t>
      </w:r>
      <w:r w:rsidRPr="00224AF3">
        <w:rPr>
          <w:rFonts w:ascii="Times New Roman" w:hAnsi="Times New Roman"/>
          <w:sz w:val="24"/>
        </w:rPr>
        <w:t>10(3): 239-254.</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Sapir, A. (2003) ‘’. </w:t>
      </w:r>
      <w:r w:rsidRPr="00224AF3">
        <w:rPr>
          <w:rFonts w:ascii="Times New Roman" w:hAnsi="Times New Roman"/>
          <w:i/>
        </w:rPr>
        <w:t>Report of an Independent High-Level Study Group established on the initiative of the President of the European Commission</w:t>
      </w:r>
      <w:r w:rsidRPr="00224AF3">
        <w:rPr>
          <w:rFonts w:ascii="Times New Roman" w:hAnsi="Times New Roman"/>
        </w:rPr>
        <w:t>. Brussels: European Commission.</w:t>
      </w:r>
    </w:p>
    <w:p w:rsidR="00B90BD7" w:rsidRPr="00224AF3" w:rsidRDefault="00B90BD7" w:rsidP="00224AF3">
      <w:pPr>
        <w:pStyle w:val="NormalWeb"/>
        <w:spacing w:beforeLines="0" w:afterLines="0"/>
        <w:ind w:left="426" w:hanging="426"/>
        <w:rPr>
          <w:rFonts w:ascii="Times New Roman" w:hAnsi="Times New Roman"/>
          <w:sz w:val="24"/>
        </w:rPr>
      </w:pPr>
      <w:r w:rsidRPr="00224AF3">
        <w:rPr>
          <w:rFonts w:ascii="Times New Roman" w:hAnsi="Times New Roman"/>
          <w:sz w:val="24"/>
        </w:rPr>
        <w:t xml:space="preserve">Scharpf, F. W. (2002) ‘The European social model: Coping with the challenges of diversity’. </w:t>
      </w:r>
      <w:r w:rsidRPr="00224AF3">
        <w:rPr>
          <w:rFonts w:ascii="Times New Roman" w:hAnsi="Times New Roman"/>
          <w:i/>
          <w:iCs/>
          <w:sz w:val="24"/>
        </w:rPr>
        <w:t xml:space="preserve">Journal of Common Market Studies </w:t>
      </w:r>
      <w:r w:rsidRPr="00224AF3">
        <w:rPr>
          <w:rFonts w:ascii="Times New Roman" w:hAnsi="Times New Roman"/>
          <w:sz w:val="24"/>
        </w:rPr>
        <w:t>40 (4): 645-670.</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Tilford, S. and Whyte, P. (2010) </w:t>
      </w:r>
      <w:r w:rsidRPr="00224AF3">
        <w:rPr>
          <w:rFonts w:ascii="Times New Roman" w:hAnsi="Times New Roman"/>
          <w:i/>
        </w:rPr>
        <w:t>The Lisbon Scorecard X: The road to 2020</w:t>
      </w:r>
      <w:r w:rsidRPr="00224AF3">
        <w:rPr>
          <w:rFonts w:ascii="Times New Roman" w:hAnsi="Times New Roman"/>
        </w:rPr>
        <w:t>. London: Centre for European Reform.</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t xml:space="preserve">Vural, I. E. (2011) ‘Lisbon Strategy and Social Policy in the Enlarged European Union and in Turkey’. In: Vural, I. E. (ed.) </w:t>
      </w:r>
      <w:r w:rsidRPr="00224AF3">
        <w:rPr>
          <w:rFonts w:ascii="Times New Roman" w:hAnsi="Times New Roman"/>
          <w:i/>
        </w:rPr>
        <w:t>Converging Europe: Transformation of Social Policy in the Enlarged European Union and in Turkey</w:t>
      </w:r>
      <w:r w:rsidRPr="00224AF3">
        <w:rPr>
          <w:rFonts w:ascii="Times New Roman" w:hAnsi="Times New Roman"/>
        </w:rPr>
        <w:t>. Farnham and Burlington: Ashgate.</w:t>
      </w:r>
    </w:p>
    <w:p w:rsidR="00B90BD7" w:rsidRPr="00224AF3" w:rsidRDefault="00B90BD7" w:rsidP="00224AF3">
      <w:pPr>
        <w:spacing w:after="120"/>
        <w:ind w:left="426" w:hanging="426"/>
        <w:rPr>
          <w:rFonts w:ascii="Times New Roman" w:hAnsi="Times New Roman"/>
        </w:rPr>
      </w:pPr>
      <w:r w:rsidRPr="00224AF3">
        <w:rPr>
          <w:rFonts w:ascii="Times New Roman" w:hAnsi="Times New Roman"/>
        </w:rPr>
        <w:lastRenderedPageBreak/>
        <w:t xml:space="preserve">World Economic Forum (2010) </w:t>
      </w:r>
      <w:r w:rsidRPr="00224AF3">
        <w:rPr>
          <w:rFonts w:ascii="Times New Roman" w:hAnsi="Times New Roman"/>
          <w:i/>
        </w:rPr>
        <w:t>The Lisbon Review 2010: Towards a More Competitive Europe?</w:t>
      </w:r>
      <w:r w:rsidRPr="00224AF3">
        <w:rPr>
          <w:rFonts w:ascii="Times New Roman" w:hAnsi="Times New Roman"/>
        </w:rPr>
        <w:t xml:space="preserve"> Geneva: World Economic Forum.</w:t>
      </w:r>
    </w:p>
    <w:p w:rsidR="00B90BD7" w:rsidRPr="00224AF3" w:rsidRDefault="00B90BD7" w:rsidP="00224AF3">
      <w:pPr>
        <w:spacing w:after="120"/>
        <w:rPr>
          <w:rFonts w:ascii="Times New Roman" w:hAnsi="Times New Roman"/>
        </w:rPr>
      </w:pPr>
      <w:r w:rsidRPr="00224AF3">
        <w:rPr>
          <w:rFonts w:ascii="Times New Roman" w:hAnsi="Times New Roman"/>
        </w:rPr>
        <w:t xml:space="preserve">Zeitlin (2005a) ‘Introduction’. In: Zeitlin, J., Pochet, P. and Magnusson, L. (eds.) </w:t>
      </w:r>
      <w:r w:rsidRPr="00224AF3">
        <w:rPr>
          <w:rFonts w:ascii="Times New Roman" w:hAnsi="Times New Roman"/>
          <w:i/>
        </w:rPr>
        <w:t>The Open Method of Co-ordination in Action. The European Employment and Social Inclusion Strategies</w:t>
      </w:r>
      <w:r w:rsidRPr="00224AF3">
        <w:rPr>
          <w:rFonts w:ascii="Times New Roman" w:hAnsi="Times New Roman"/>
        </w:rPr>
        <w:t>. Brussels: Peter Lang:</w:t>
      </w:r>
    </w:p>
    <w:p w:rsidR="00B90BD7" w:rsidRPr="00224AF3" w:rsidRDefault="00B90BD7" w:rsidP="00224AF3">
      <w:pPr>
        <w:spacing w:after="120"/>
        <w:rPr>
          <w:rFonts w:ascii="Times New Roman" w:hAnsi="Times New Roman"/>
        </w:rPr>
      </w:pPr>
      <w:r w:rsidRPr="00224AF3">
        <w:rPr>
          <w:rFonts w:ascii="Times New Roman" w:hAnsi="Times New Roman"/>
        </w:rPr>
        <w:t xml:space="preserve">Zeitlin, J. (2005b) ‘The Open Method of Coordination in Action: Theoretical Promise, Empirical Realities, Reform Strategy. In: Zeitlin, J., Pochet, P. and Magnusson, L. (eds.) </w:t>
      </w:r>
      <w:r w:rsidRPr="00224AF3">
        <w:rPr>
          <w:rFonts w:ascii="Times New Roman" w:hAnsi="Times New Roman"/>
          <w:i/>
        </w:rPr>
        <w:t>The Open Method of Co-ordination in Action. The European Employment and Social Inclusion Strategies</w:t>
      </w:r>
      <w:r w:rsidRPr="00224AF3">
        <w:rPr>
          <w:rFonts w:ascii="Times New Roman" w:hAnsi="Times New Roman"/>
        </w:rPr>
        <w:t>. Brussels: Peter Lang: 447-504.</w:t>
      </w:r>
    </w:p>
    <w:p w:rsidR="00B90BD7" w:rsidRPr="00224AF3" w:rsidRDefault="00B90BD7" w:rsidP="00B90BD7">
      <w:pPr>
        <w:rPr>
          <w:rFonts w:ascii="Times New Roman" w:hAnsi="Times New Roman"/>
        </w:rPr>
      </w:pPr>
    </w:p>
    <w:p w:rsidR="00445618" w:rsidRPr="00224AF3" w:rsidRDefault="00445618" w:rsidP="00EC64BE">
      <w:pPr>
        <w:pStyle w:val="NormalWeb"/>
        <w:spacing w:beforeLines="0" w:afterLines="0" w:line="480" w:lineRule="auto"/>
        <w:jc w:val="both"/>
        <w:rPr>
          <w:rFonts w:ascii="Times New Roman" w:hAnsi="Times New Roman" w:cs="Helvetica"/>
          <w:sz w:val="24"/>
          <w:szCs w:val="26"/>
          <w:lang w:val="en-GB"/>
        </w:rPr>
      </w:pPr>
    </w:p>
    <w:p w:rsidR="00CD5287" w:rsidRPr="00224AF3" w:rsidRDefault="00CD5287" w:rsidP="00E53037">
      <w:pPr>
        <w:pStyle w:val="NormalWeb"/>
        <w:spacing w:beforeLines="0" w:afterLines="0" w:line="480" w:lineRule="auto"/>
        <w:ind w:firstLine="231"/>
        <w:jc w:val="both"/>
        <w:rPr>
          <w:rFonts w:ascii="Times New Roman" w:hAnsi="Times New Roman" w:cs="Helvetica"/>
          <w:sz w:val="24"/>
          <w:szCs w:val="26"/>
          <w:lang w:val="en-GB"/>
        </w:rPr>
      </w:pPr>
    </w:p>
    <w:p w:rsidR="001B774E" w:rsidRPr="00224AF3" w:rsidRDefault="001B774E" w:rsidP="00E53037">
      <w:pPr>
        <w:pStyle w:val="NormalWeb"/>
        <w:spacing w:beforeLines="0" w:afterLines="0" w:line="480" w:lineRule="auto"/>
        <w:ind w:firstLine="231"/>
        <w:jc w:val="both"/>
        <w:rPr>
          <w:rFonts w:ascii="Times New Roman" w:hAnsi="Times New Roman" w:cs="Helvetica"/>
          <w:sz w:val="24"/>
          <w:szCs w:val="26"/>
          <w:lang w:val="en-GB"/>
        </w:rPr>
      </w:pPr>
    </w:p>
    <w:p w:rsidR="001B774E" w:rsidRPr="00224AF3" w:rsidRDefault="001B774E" w:rsidP="00E53037">
      <w:pPr>
        <w:pStyle w:val="NormalWeb"/>
        <w:spacing w:beforeLines="0" w:afterLines="0" w:line="480" w:lineRule="auto"/>
        <w:ind w:firstLine="231"/>
        <w:jc w:val="both"/>
        <w:rPr>
          <w:rFonts w:ascii="Times New Roman" w:hAnsi="Times New Roman" w:cs="Helvetica"/>
          <w:sz w:val="24"/>
          <w:szCs w:val="26"/>
          <w:lang w:val="en-GB"/>
        </w:rPr>
      </w:pPr>
    </w:p>
    <w:p w:rsidR="00D9788B" w:rsidRPr="00224AF3" w:rsidRDefault="00D9788B" w:rsidP="00CD5287">
      <w:pPr>
        <w:pStyle w:val="NormalWeb"/>
        <w:spacing w:beforeLines="0" w:afterLines="0" w:line="480" w:lineRule="auto"/>
        <w:jc w:val="both"/>
        <w:rPr>
          <w:rFonts w:ascii="Times New Roman" w:hAnsi="Times New Roman" w:cs="Helvetica"/>
          <w:sz w:val="24"/>
          <w:szCs w:val="26"/>
          <w:lang w:val="en-GB"/>
        </w:rPr>
      </w:pPr>
    </w:p>
    <w:p w:rsidR="00007006" w:rsidRPr="00224AF3" w:rsidRDefault="00007006" w:rsidP="00007006">
      <w:pPr>
        <w:pStyle w:val="NormalWeb"/>
        <w:spacing w:beforeLines="0" w:afterLines="0" w:line="480" w:lineRule="auto"/>
        <w:jc w:val="both"/>
        <w:rPr>
          <w:rFonts w:ascii="Times New Roman" w:hAnsi="Times New Roman" w:cs="Helvetica"/>
          <w:sz w:val="24"/>
          <w:szCs w:val="26"/>
          <w:lang w:val="en-GB"/>
        </w:rPr>
      </w:pPr>
    </w:p>
    <w:p w:rsidR="001C6645" w:rsidRPr="00224AF3" w:rsidRDefault="001C6645" w:rsidP="00007006">
      <w:pPr>
        <w:pStyle w:val="NormalWeb"/>
        <w:spacing w:beforeLines="0" w:afterLines="0" w:line="480" w:lineRule="auto"/>
        <w:jc w:val="both"/>
        <w:rPr>
          <w:rFonts w:ascii="Times New Roman" w:hAnsi="Times New Roman" w:cs="Helvetica"/>
          <w:sz w:val="24"/>
          <w:szCs w:val="26"/>
          <w:lang w:val="en-GB"/>
        </w:rPr>
      </w:pPr>
    </w:p>
    <w:p w:rsidR="001631BC" w:rsidRPr="00224AF3" w:rsidRDefault="001631BC" w:rsidP="001C6645">
      <w:pPr>
        <w:pStyle w:val="NormalWeb"/>
        <w:spacing w:beforeLines="0" w:afterLines="0" w:line="480" w:lineRule="auto"/>
        <w:ind w:firstLine="720"/>
        <w:jc w:val="both"/>
        <w:rPr>
          <w:rFonts w:ascii="Times New Roman" w:hAnsi="Times New Roman"/>
          <w:sz w:val="24"/>
          <w:szCs w:val="18"/>
          <w:lang w:val="en-GB"/>
        </w:rPr>
      </w:pPr>
    </w:p>
    <w:p w:rsidR="001631BC" w:rsidRPr="00224AF3" w:rsidRDefault="001631BC" w:rsidP="00527286">
      <w:pPr>
        <w:pStyle w:val="NormalWeb"/>
        <w:spacing w:before="2" w:after="2"/>
        <w:rPr>
          <w:rFonts w:ascii="Times New Roman" w:hAnsi="Times New Roman"/>
          <w:sz w:val="24"/>
          <w:szCs w:val="18"/>
          <w:lang w:val="en-GB"/>
        </w:rPr>
      </w:pPr>
    </w:p>
    <w:p w:rsidR="00592231" w:rsidRPr="00224AF3" w:rsidRDefault="00592231" w:rsidP="00527286">
      <w:pPr>
        <w:pStyle w:val="NormalWeb"/>
        <w:spacing w:before="2" w:after="2"/>
        <w:rPr>
          <w:rFonts w:ascii="Times New Roman" w:hAnsi="Times New Roman"/>
          <w:sz w:val="24"/>
          <w:szCs w:val="18"/>
          <w:lang w:val="en-GB"/>
        </w:rPr>
      </w:pPr>
    </w:p>
    <w:p w:rsidR="00527286" w:rsidRPr="00224AF3" w:rsidRDefault="00527286" w:rsidP="00527286">
      <w:pPr>
        <w:pStyle w:val="NormalWeb"/>
        <w:spacing w:before="2" w:after="2"/>
        <w:rPr>
          <w:rFonts w:ascii="Times New Roman" w:hAnsi="Times New Roman"/>
          <w:sz w:val="24"/>
          <w:szCs w:val="18"/>
          <w:lang w:val="en-GB"/>
        </w:rPr>
      </w:pPr>
    </w:p>
    <w:p w:rsidR="00572EA6" w:rsidRPr="00224AF3" w:rsidRDefault="00572EA6" w:rsidP="00527286">
      <w:pPr>
        <w:pStyle w:val="NormalWeb"/>
        <w:spacing w:before="2" w:after="2"/>
        <w:rPr>
          <w:rFonts w:ascii="Times New Roman" w:hAnsi="Times New Roman"/>
          <w:sz w:val="24"/>
          <w:szCs w:val="18"/>
          <w:lang w:val="en-GB"/>
        </w:rPr>
      </w:pPr>
    </w:p>
    <w:p w:rsidR="006F49A1" w:rsidRPr="00224AF3" w:rsidRDefault="006F49A1" w:rsidP="00527286">
      <w:pPr>
        <w:pStyle w:val="NormalWeb"/>
        <w:spacing w:before="2" w:after="2"/>
        <w:rPr>
          <w:rFonts w:ascii="Times New Roman" w:hAnsi="Times New Roman"/>
          <w:sz w:val="24"/>
          <w:szCs w:val="18"/>
          <w:lang w:val="en-GB"/>
        </w:rPr>
      </w:pPr>
    </w:p>
    <w:p w:rsidR="006F49A1" w:rsidRPr="00224AF3" w:rsidRDefault="006F49A1" w:rsidP="00527286">
      <w:pPr>
        <w:pStyle w:val="NormalWeb"/>
        <w:spacing w:before="2" w:after="2"/>
        <w:rPr>
          <w:rFonts w:ascii="Times New Roman" w:hAnsi="Times New Roman"/>
          <w:sz w:val="24"/>
          <w:szCs w:val="18"/>
          <w:lang w:val="en-GB"/>
        </w:rPr>
      </w:pPr>
    </w:p>
    <w:p w:rsidR="00527286" w:rsidRPr="00224AF3" w:rsidRDefault="00527286" w:rsidP="00527286">
      <w:pPr>
        <w:pStyle w:val="NormalWeb"/>
        <w:spacing w:before="2" w:after="2"/>
        <w:rPr>
          <w:rFonts w:ascii="Times New Roman" w:hAnsi="Times New Roman"/>
          <w:sz w:val="24"/>
          <w:lang w:val="en-GB"/>
        </w:rPr>
      </w:pPr>
    </w:p>
    <w:p w:rsidR="00527286" w:rsidRPr="00224AF3" w:rsidRDefault="00527286">
      <w:pPr>
        <w:rPr>
          <w:rFonts w:ascii="Times New Roman" w:hAnsi="Times New Roman"/>
          <w:lang w:val="en-GB"/>
        </w:rPr>
      </w:pPr>
    </w:p>
    <w:sectPr w:rsidR="00527286" w:rsidRPr="00224AF3" w:rsidSect="00594890">
      <w:headerReference w:type="default" r:id="rId7"/>
      <w:pgSz w:w="11900" w:h="16840"/>
      <w:pgMar w:top="1440" w:right="141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334" w:rsidRDefault="00A24334" w:rsidP="00A8606F">
      <w:r>
        <w:separator/>
      </w:r>
    </w:p>
  </w:endnote>
  <w:endnote w:type="continuationSeparator" w:id="0">
    <w:p w:rsidR="00A24334" w:rsidRDefault="00A24334" w:rsidP="00A8606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4D"/>
    <w:family w:val="roman"/>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334" w:rsidRDefault="00A24334" w:rsidP="00A8606F">
      <w:r>
        <w:separator/>
      </w:r>
    </w:p>
  </w:footnote>
  <w:footnote w:type="continuationSeparator" w:id="0">
    <w:p w:rsidR="00A24334" w:rsidRDefault="00A24334" w:rsidP="00A860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0C5" w:rsidRPr="00F41376" w:rsidRDefault="002230C5" w:rsidP="00594890">
    <w:pPr>
      <w:pStyle w:val="Encabezado"/>
      <w:jc w:val="center"/>
      <w:rPr>
        <w:rFonts w:ascii="Times New Roman" w:hAnsi="Times New Roman"/>
      </w:rPr>
    </w:pPr>
    <w:r>
      <w:rPr>
        <w:rFonts w:ascii="Times New Roman" w:hAnsi="Times New Roman"/>
      </w:rPr>
      <w:t>POLI70381</w:t>
    </w:r>
    <w:r>
      <w:rPr>
        <w:rFonts w:ascii="Times New Roman" w:hAnsi="Times New Roman"/>
      </w:rPr>
      <w:tab/>
    </w:r>
    <w:r>
      <w:rPr>
        <w:rFonts w:ascii="Times New Roman" w:hAnsi="Times New Roman"/>
      </w:rPr>
      <w:tab/>
      <w:t>74458651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527286"/>
    <w:rsid w:val="000010C7"/>
    <w:rsid w:val="00001FEB"/>
    <w:rsid w:val="00007006"/>
    <w:rsid w:val="000077BD"/>
    <w:rsid w:val="0001721E"/>
    <w:rsid w:val="000202B2"/>
    <w:rsid w:val="000313E5"/>
    <w:rsid w:val="00037AB4"/>
    <w:rsid w:val="0004572C"/>
    <w:rsid w:val="00045946"/>
    <w:rsid w:val="00045E66"/>
    <w:rsid w:val="0004689B"/>
    <w:rsid w:val="0005081B"/>
    <w:rsid w:val="00056D77"/>
    <w:rsid w:val="00057C27"/>
    <w:rsid w:val="000756E9"/>
    <w:rsid w:val="00082EA4"/>
    <w:rsid w:val="00092671"/>
    <w:rsid w:val="0009770F"/>
    <w:rsid w:val="00097C31"/>
    <w:rsid w:val="000B3DA9"/>
    <w:rsid w:val="000B425E"/>
    <w:rsid w:val="000C7AA3"/>
    <w:rsid w:val="000D09E9"/>
    <w:rsid w:val="000E130C"/>
    <w:rsid w:val="0011447B"/>
    <w:rsid w:val="0012078B"/>
    <w:rsid w:val="00120E60"/>
    <w:rsid w:val="00122E80"/>
    <w:rsid w:val="0013485D"/>
    <w:rsid w:val="00134CE1"/>
    <w:rsid w:val="00142901"/>
    <w:rsid w:val="001452A7"/>
    <w:rsid w:val="00152912"/>
    <w:rsid w:val="00154D65"/>
    <w:rsid w:val="00161F1E"/>
    <w:rsid w:val="001631BC"/>
    <w:rsid w:val="00166146"/>
    <w:rsid w:val="00170507"/>
    <w:rsid w:val="001753E4"/>
    <w:rsid w:val="00180E82"/>
    <w:rsid w:val="001837EF"/>
    <w:rsid w:val="00192288"/>
    <w:rsid w:val="00194CFA"/>
    <w:rsid w:val="001979CF"/>
    <w:rsid w:val="001A1951"/>
    <w:rsid w:val="001A3A4A"/>
    <w:rsid w:val="001A7F58"/>
    <w:rsid w:val="001B5640"/>
    <w:rsid w:val="001B774E"/>
    <w:rsid w:val="001C1218"/>
    <w:rsid w:val="001C46A7"/>
    <w:rsid w:val="001C6645"/>
    <w:rsid w:val="001D76CA"/>
    <w:rsid w:val="001E0A9D"/>
    <w:rsid w:val="001F247D"/>
    <w:rsid w:val="001F75A3"/>
    <w:rsid w:val="002041E8"/>
    <w:rsid w:val="00211EB0"/>
    <w:rsid w:val="0022194E"/>
    <w:rsid w:val="00221950"/>
    <w:rsid w:val="002230C5"/>
    <w:rsid w:val="00224AF3"/>
    <w:rsid w:val="002274C2"/>
    <w:rsid w:val="00234668"/>
    <w:rsid w:val="002374CD"/>
    <w:rsid w:val="00240B5B"/>
    <w:rsid w:val="002504D3"/>
    <w:rsid w:val="0025290B"/>
    <w:rsid w:val="00273BC5"/>
    <w:rsid w:val="00275048"/>
    <w:rsid w:val="002815D7"/>
    <w:rsid w:val="00290DB4"/>
    <w:rsid w:val="0029102A"/>
    <w:rsid w:val="00291ACA"/>
    <w:rsid w:val="0029601C"/>
    <w:rsid w:val="00297CFA"/>
    <w:rsid w:val="002A2DDA"/>
    <w:rsid w:val="002B7612"/>
    <w:rsid w:val="002C064A"/>
    <w:rsid w:val="002C24D7"/>
    <w:rsid w:val="002C3B2F"/>
    <w:rsid w:val="002C6D76"/>
    <w:rsid w:val="002D1725"/>
    <w:rsid w:val="002F2489"/>
    <w:rsid w:val="002F43BF"/>
    <w:rsid w:val="00301039"/>
    <w:rsid w:val="00301523"/>
    <w:rsid w:val="00306181"/>
    <w:rsid w:val="0031017C"/>
    <w:rsid w:val="00311489"/>
    <w:rsid w:val="00320B54"/>
    <w:rsid w:val="00321377"/>
    <w:rsid w:val="00324AF7"/>
    <w:rsid w:val="0032507D"/>
    <w:rsid w:val="003305AE"/>
    <w:rsid w:val="00336681"/>
    <w:rsid w:val="00341A0B"/>
    <w:rsid w:val="0034563C"/>
    <w:rsid w:val="00345C9E"/>
    <w:rsid w:val="00345DC2"/>
    <w:rsid w:val="00355A6C"/>
    <w:rsid w:val="00356E71"/>
    <w:rsid w:val="00360A6B"/>
    <w:rsid w:val="00370974"/>
    <w:rsid w:val="00377C34"/>
    <w:rsid w:val="003A0814"/>
    <w:rsid w:val="003A42C8"/>
    <w:rsid w:val="003A73A4"/>
    <w:rsid w:val="003A764D"/>
    <w:rsid w:val="003A7B22"/>
    <w:rsid w:val="003B4A95"/>
    <w:rsid w:val="003B6211"/>
    <w:rsid w:val="003D0A72"/>
    <w:rsid w:val="003D5A0B"/>
    <w:rsid w:val="003D6357"/>
    <w:rsid w:val="003D798F"/>
    <w:rsid w:val="003E0985"/>
    <w:rsid w:val="003E1B9C"/>
    <w:rsid w:val="003E5C76"/>
    <w:rsid w:val="003E7725"/>
    <w:rsid w:val="003F43A7"/>
    <w:rsid w:val="00402A1E"/>
    <w:rsid w:val="00405FF9"/>
    <w:rsid w:val="00407C7F"/>
    <w:rsid w:val="0041272A"/>
    <w:rsid w:val="0041372D"/>
    <w:rsid w:val="00425DB4"/>
    <w:rsid w:val="00431CB1"/>
    <w:rsid w:val="0043517F"/>
    <w:rsid w:val="00436A44"/>
    <w:rsid w:val="00445618"/>
    <w:rsid w:val="00446B55"/>
    <w:rsid w:val="00447AA2"/>
    <w:rsid w:val="00453036"/>
    <w:rsid w:val="00457BF9"/>
    <w:rsid w:val="004714C0"/>
    <w:rsid w:val="00482118"/>
    <w:rsid w:val="004821D6"/>
    <w:rsid w:val="0048426F"/>
    <w:rsid w:val="004909EC"/>
    <w:rsid w:val="00490C08"/>
    <w:rsid w:val="004A0BE0"/>
    <w:rsid w:val="004C5A56"/>
    <w:rsid w:val="004C72B8"/>
    <w:rsid w:val="004D1E66"/>
    <w:rsid w:val="004D4A6A"/>
    <w:rsid w:val="004D588D"/>
    <w:rsid w:val="004E167D"/>
    <w:rsid w:val="004F48D5"/>
    <w:rsid w:val="005006E8"/>
    <w:rsid w:val="00502539"/>
    <w:rsid w:val="005053EF"/>
    <w:rsid w:val="00505E02"/>
    <w:rsid w:val="00506F0A"/>
    <w:rsid w:val="005077A3"/>
    <w:rsid w:val="005149CA"/>
    <w:rsid w:val="00516916"/>
    <w:rsid w:val="00525E06"/>
    <w:rsid w:val="00527286"/>
    <w:rsid w:val="0052773D"/>
    <w:rsid w:val="005303B4"/>
    <w:rsid w:val="0053233B"/>
    <w:rsid w:val="0053509C"/>
    <w:rsid w:val="00542E5A"/>
    <w:rsid w:val="00550330"/>
    <w:rsid w:val="00557087"/>
    <w:rsid w:val="00562177"/>
    <w:rsid w:val="00565AB9"/>
    <w:rsid w:val="00572EA6"/>
    <w:rsid w:val="00574816"/>
    <w:rsid w:val="00574D5D"/>
    <w:rsid w:val="00583F2D"/>
    <w:rsid w:val="00590337"/>
    <w:rsid w:val="00592231"/>
    <w:rsid w:val="00594890"/>
    <w:rsid w:val="005D3DE3"/>
    <w:rsid w:val="005D3F4D"/>
    <w:rsid w:val="005D5988"/>
    <w:rsid w:val="005E291B"/>
    <w:rsid w:val="005E3CA9"/>
    <w:rsid w:val="005E535A"/>
    <w:rsid w:val="005F00B6"/>
    <w:rsid w:val="005F1BE0"/>
    <w:rsid w:val="005F3342"/>
    <w:rsid w:val="005F5AA1"/>
    <w:rsid w:val="00602830"/>
    <w:rsid w:val="0060326D"/>
    <w:rsid w:val="00620CF8"/>
    <w:rsid w:val="006305DE"/>
    <w:rsid w:val="0064327C"/>
    <w:rsid w:val="00655EE0"/>
    <w:rsid w:val="00666329"/>
    <w:rsid w:val="006705AF"/>
    <w:rsid w:val="00671FE0"/>
    <w:rsid w:val="006736D9"/>
    <w:rsid w:val="00675318"/>
    <w:rsid w:val="00691324"/>
    <w:rsid w:val="00692307"/>
    <w:rsid w:val="00692EA6"/>
    <w:rsid w:val="00693218"/>
    <w:rsid w:val="00697A8B"/>
    <w:rsid w:val="006A16C4"/>
    <w:rsid w:val="006A3846"/>
    <w:rsid w:val="006C4901"/>
    <w:rsid w:val="006C6740"/>
    <w:rsid w:val="006D0747"/>
    <w:rsid w:val="006D2F5C"/>
    <w:rsid w:val="006E221E"/>
    <w:rsid w:val="006F49A1"/>
    <w:rsid w:val="007046F7"/>
    <w:rsid w:val="00706C11"/>
    <w:rsid w:val="00711C14"/>
    <w:rsid w:val="00714E2D"/>
    <w:rsid w:val="00722D64"/>
    <w:rsid w:val="00724550"/>
    <w:rsid w:val="007518A1"/>
    <w:rsid w:val="007522C6"/>
    <w:rsid w:val="00753D0D"/>
    <w:rsid w:val="007548CB"/>
    <w:rsid w:val="00757157"/>
    <w:rsid w:val="00761C76"/>
    <w:rsid w:val="00773649"/>
    <w:rsid w:val="007750AB"/>
    <w:rsid w:val="0078588A"/>
    <w:rsid w:val="00791804"/>
    <w:rsid w:val="00791EC2"/>
    <w:rsid w:val="007A27D6"/>
    <w:rsid w:val="007B533E"/>
    <w:rsid w:val="007C2102"/>
    <w:rsid w:val="007C384A"/>
    <w:rsid w:val="007C6F35"/>
    <w:rsid w:val="007D0B6F"/>
    <w:rsid w:val="007D2C49"/>
    <w:rsid w:val="007D3695"/>
    <w:rsid w:val="007D3F0D"/>
    <w:rsid w:val="007E7C13"/>
    <w:rsid w:val="007F119E"/>
    <w:rsid w:val="00805A9D"/>
    <w:rsid w:val="00805D1B"/>
    <w:rsid w:val="008116C5"/>
    <w:rsid w:val="00811FBB"/>
    <w:rsid w:val="00814F96"/>
    <w:rsid w:val="00815302"/>
    <w:rsid w:val="008224C5"/>
    <w:rsid w:val="00822798"/>
    <w:rsid w:val="00842F57"/>
    <w:rsid w:val="00843F47"/>
    <w:rsid w:val="00857523"/>
    <w:rsid w:val="0086209E"/>
    <w:rsid w:val="0086794A"/>
    <w:rsid w:val="00867ACB"/>
    <w:rsid w:val="00870B3A"/>
    <w:rsid w:val="008748B7"/>
    <w:rsid w:val="00875BC5"/>
    <w:rsid w:val="0087709B"/>
    <w:rsid w:val="0088190B"/>
    <w:rsid w:val="00881EAE"/>
    <w:rsid w:val="0089001B"/>
    <w:rsid w:val="00893092"/>
    <w:rsid w:val="008C463F"/>
    <w:rsid w:val="008C6E28"/>
    <w:rsid w:val="008E6423"/>
    <w:rsid w:val="008E6D35"/>
    <w:rsid w:val="008F07A4"/>
    <w:rsid w:val="008F2ED0"/>
    <w:rsid w:val="008F3D5A"/>
    <w:rsid w:val="008F4410"/>
    <w:rsid w:val="009004D1"/>
    <w:rsid w:val="00912DC1"/>
    <w:rsid w:val="00914CCB"/>
    <w:rsid w:val="0091783D"/>
    <w:rsid w:val="00921332"/>
    <w:rsid w:val="009215CD"/>
    <w:rsid w:val="00944CFE"/>
    <w:rsid w:val="00947613"/>
    <w:rsid w:val="00952AFD"/>
    <w:rsid w:val="00956737"/>
    <w:rsid w:val="009569DB"/>
    <w:rsid w:val="0096346F"/>
    <w:rsid w:val="00976CC0"/>
    <w:rsid w:val="009779BD"/>
    <w:rsid w:val="009858E1"/>
    <w:rsid w:val="00986414"/>
    <w:rsid w:val="00990E33"/>
    <w:rsid w:val="0099664A"/>
    <w:rsid w:val="009A3E41"/>
    <w:rsid w:val="009A679E"/>
    <w:rsid w:val="009A76B3"/>
    <w:rsid w:val="009B0C7F"/>
    <w:rsid w:val="009B0CE4"/>
    <w:rsid w:val="009B43BF"/>
    <w:rsid w:val="009C1552"/>
    <w:rsid w:val="009D4A8D"/>
    <w:rsid w:val="009E1FE1"/>
    <w:rsid w:val="009F51EF"/>
    <w:rsid w:val="00A057E3"/>
    <w:rsid w:val="00A06DD4"/>
    <w:rsid w:val="00A100E6"/>
    <w:rsid w:val="00A125E1"/>
    <w:rsid w:val="00A24334"/>
    <w:rsid w:val="00A265BF"/>
    <w:rsid w:val="00A45CFD"/>
    <w:rsid w:val="00A479DB"/>
    <w:rsid w:val="00A64CF2"/>
    <w:rsid w:val="00A6614A"/>
    <w:rsid w:val="00A702DA"/>
    <w:rsid w:val="00A70E10"/>
    <w:rsid w:val="00A732CD"/>
    <w:rsid w:val="00A73CB2"/>
    <w:rsid w:val="00A82C10"/>
    <w:rsid w:val="00A8606F"/>
    <w:rsid w:val="00A940B3"/>
    <w:rsid w:val="00A972F7"/>
    <w:rsid w:val="00AA13C4"/>
    <w:rsid w:val="00AA3686"/>
    <w:rsid w:val="00AA5E02"/>
    <w:rsid w:val="00AB1B39"/>
    <w:rsid w:val="00AB4020"/>
    <w:rsid w:val="00AC79E1"/>
    <w:rsid w:val="00AD3E06"/>
    <w:rsid w:val="00AD694F"/>
    <w:rsid w:val="00AE1D52"/>
    <w:rsid w:val="00AF4A3E"/>
    <w:rsid w:val="00B037E4"/>
    <w:rsid w:val="00B0386B"/>
    <w:rsid w:val="00B0742B"/>
    <w:rsid w:val="00B12B5D"/>
    <w:rsid w:val="00B13614"/>
    <w:rsid w:val="00B144C9"/>
    <w:rsid w:val="00B22EBF"/>
    <w:rsid w:val="00B269E5"/>
    <w:rsid w:val="00B36345"/>
    <w:rsid w:val="00B51841"/>
    <w:rsid w:val="00B615E6"/>
    <w:rsid w:val="00B63740"/>
    <w:rsid w:val="00B73E17"/>
    <w:rsid w:val="00B7546C"/>
    <w:rsid w:val="00B86B56"/>
    <w:rsid w:val="00B86CE4"/>
    <w:rsid w:val="00B87649"/>
    <w:rsid w:val="00B90BD7"/>
    <w:rsid w:val="00B931C1"/>
    <w:rsid w:val="00BA437E"/>
    <w:rsid w:val="00BB44C5"/>
    <w:rsid w:val="00BB6D1F"/>
    <w:rsid w:val="00BC50A3"/>
    <w:rsid w:val="00BC7765"/>
    <w:rsid w:val="00BC7AED"/>
    <w:rsid w:val="00BD2EB5"/>
    <w:rsid w:val="00BD4CD1"/>
    <w:rsid w:val="00BE0AE8"/>
    <w:rsid w:val="00BF0C98"/>
    <w:rsid w:val="00C0117D"/>
    <w:rsid w:val="00C1307F"/>
    <w:rsid w:val="00C14A86"/>
    <w:rsid w:val="00C17106"/>
    <w:rsid w:val="00C20406"/>
    <w:rsid w:val="00C26001"/>
    <w:rsid w:val="00C30B2D"/>
    <w:rsid w:val="00C35D88"/>
    <w:rsid w:val="00C3614B"/>
    <w:rsid w:val="00C43B6E"/>
    <w:rsid w:val="00C55319"/>
    <w:rsid w:val="00C741B9"/>
    <w:rsid w:val="00C75700"/>
    <w:rsid w:val="00C77B49"/>
    <w:rsid w:val="00C83764"/>
    <w:rsid w:val="00C929D4"/>
    <w:rsid w:val="00CC788C"/>
    <w:rsid w:val="00CD5287"/>
    <w:rsid w:val="00CE15FD"/>
    <w:rsid w:val="00CF1FF6"/>
    <w:rsid w:val="00CF33D1"/>
    <w:rsid w:val="00CF4EE2"/>
    <w:rsid w:val="00D01417"/>
    <w:rsid w:val="00D018FA"/>
    <w:rsid w:val="00D02CEA"/>
    <w:rsid w:val="00D11BB7"/>
    <w:rsid w:val="00D14691"/>
    <w:rsid w:val="00D22347"/>
    <w:rsid w:val="00D2443D"/>
    <w:rsid w:val="00D253C1"/>
    <w:rsid w:val="00D27F29"/>
    <w:rsid w:val="00D3119A"/>
    <w:rsid w:val="00D35A3B"/>
    <w:rsid w:val="00D41886"/>
    <w:rsid w:val="00D47AE5"/>
    <w:rsid w:val="00D527B6"/>
    <w:rsid w:val="00D71CC1"/>
    <w:rsid w:val="00D735C9"/>
    <w:rsid w:val="00D75CA1"/>
    <w:rsid w:val="00D851EA"/>
    <w:rsid w:val="00D85963"/>
    <w:rsid w:val="00D90635"/>
    <w:rsid w:val="00D92932"/>
    <w:rsid w:val="00D9423E"/>
    <w:rsid w:val="00D9501E"/>
    <w:rsid w:val="00D95520"/>
    <w:rsid w:val="00D9788B"/>
    <w:rsid w:val="00DA3B05"/>
    <w:rsid w:val="00DA58AD"/>
    <w:rsid w:val="00DA75DB"/>
    <w:rsid w:val="00DB22C3"/>
    <w:rsid w:val="00DB2A0F"/>
    <w:rsid w:val="00DC6E79"/>
    <w:rsid w:val="00DE031A"/>
    <w:rsid w:val="00DE162C"/>
    <w:rsid w:val="00DF3605"/>
    <w:rsid w:val="00DF53DA"/>
    <w:rsid w:val="00E03CB5"/>
    <w:rsid w:val="00E04205"/>
    <w:rsid w:val="00E06CE2"/>
    <w:rsid w:val="00E16288"/>
    <w:rsid w:val="00E20A98"/>
    <w:rsid w:val="00E22016"/>
    <w:rsid w:val="00E225F3"/>
    <w:rsid w:val="00E24129"/>
    <w:rsid w:val="00E272B1"/>
    <w:rsid w:val="00E32117"/>
    <w:rsid w:val="00E34A13"/>
    <w:rsid w:val="00E5274F"/>
    <w:rsid w:val="00E53037"/>
    <w:rsid w:val="00E571C5"/>
    <w:rsid w:val="00E57BCC"/>
    <w:rsid w:val="00E6401F"/>
    <w:rsid w:val="00E712B4"/>
    <w:rsid w:val="00E80212"/>
    <w:rsid w:val="00E835EF"/>
    <w:rsid w:val="00E906A2"/>
    <w:rsid w:val="00E92388"/>
    <w:rsid w:val="00E9775E"/>
    <w:rsid w:val="00EA0A43"/>
    <w:rsid w:val="00EA132B"/>
    <w:rsid w:val="00EA3BC1"/>
    <w:rsid w:val="00EC5519"/>
    <w:rsid w:val="00EC64BE"/>
    <w:rsid w:val="00EC73F3"/>
    <w:rsid w:val="00EC7BCF"/>
    <w:rsid w:val="00ED1D8C"/>
    <w:rsid w:val="00ED6B3A"/>
    <w:rsid w:val="00EE1FDA"/>
    <w:rsid w:val="00EE5074"/>
    <w:rsid w:val="00EE5CA7"/>
    <w:rsid w:val="00EF3729"/>
    <w:rsid w:val="00F021E4"/>
    <w:rsid w:val="00F05AAD"/>
    <w:rsid w:val="00F05BAB"/>
    <w:rsid w:val="00F1161D"/>
    <w:rsid w:val="00F1582A"/>
    <w:rsid w:val="00F20683"/>
    <w:rsid w:val="00F313DD"/>
    <w:rsid w:val="00F41376"/>
    <w:rsid w:val="00F416FA"/>
    <w:rsid w:val="00F434F0"/>
    <w:rsid w:val="00F45592"/>
    <w:rsid w:val="00F46F7C"/>
    <w:rsid w:val="00F515C2"/>
    <w:rsid w:val="00F53E31"/>
    <w:rsid w:val="00F53F72"/>
    <w:rsid w:val="00F703FB"/>
    <w:rsid w:val="00F729FE"/>
    <w:rsid w:val="00F81F6B"/>
    <w:rsid w:val="00F850F2"/>
    <w:rsid w:val="00F909F4"/>
    <w:rsid w:val="00FA203C"/>
    <w:rsid w:val="00FA22C8"/>
    <w:rsid w:val="00FA32DE"/>
    <w:rsid w:val="00FB3041"/>
    <w:rsid w:val="00FB3E15"/>
    <w:rsid w:val="00FB6776"/>
    <w:rsid w:val="00FC33C3"/>
    <w:rsid w:val="00FC449E"/>
    <w:rsid w:val="00FC761D"/>
    <w:rsid w:val="00FE76A8"/>
    <w:rsid w:val="00FF05B2"/>
    <w:rsid w:val="00FF20A9"/>
    <w:rsid w:val="00FF7FB6"/>
  </w:rsids>
  <m:mathPr>
    <m:mathFont m:val="Cambria Math"/>
    <m:brkBin m:val="before"/>
    <m:brkBinSub m:val="--"/>
    <m:smallFrac m:val="off"/>
    <m:dispDef m:val="off"/>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eading 3" w:uiPriority="9"/>
    <w:lsdException w:name="Normal (Web)" w:uiPriority="99"/>
    <w:lsdException w:name="HTML Cite" w:uiPriority="99"/>
  </w:latentStyles>
  <w:style w:type="paragraph" w:default="1" w:styleId="Normal">
    <w:name w:val="Normal"/>
    <w:qFormat/>
    <w:rsid w:val="00C576C8"/>
  </w:style>
  <w:style w:type="paragraph" w:styleId="Ttulo1">
    <w:name w:val="heading 1"/>
    <w:basedOn w:val="Normal"/>
    <w:next w:val="Normal"/>
    <w:link w:val="Ttulo1Car"/>
    <w:rsid w:val="00B90BD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tulo3">
    <w:name w:val="heading 3"/>
    <w:basedOn w:val="Normal"/>
    <w:link w:val="Ttulo3Car"/>
    <w:uiPriority w:val="9"/>
    <w:rsid w:val="00B90BD7"/>
    <w:pPr>
      <w:spacing w:beforeLines="1" w:afterLines="1"/>
      <w:outlineLvl w:val="2"/>
    </w:pPr>
    <w:rPr>
      <w:rFonts w:ascii="Times" w:hAnsi="Times"/>
      <w:b/>
      <w:sz w:val="27"/>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527286"/>
    <w:pPr>
      <w:spacing w:beforeLines="1" w:afterLines="1"/>
    </w:pPr>
    <w:rPr>
      <w:rFonts w:ascii="Times" w:hAnsi="Times" w:cs="Times New Roman"/>
      <w:sz w:val="20"/>
      <w:szCs w:val="20"/>
    </w:rPr>
  </w:style>
  <w:style w:type="paragraph" w:styleId="Textonotapie">
    <w:name w:val="footnote text"/>
    <w:basedOn w:val="Normal"/>
    <w:link w:val="TextonotapieCar"/>
    <w:uiPriority w:val="99"/>
    <w:semiHidden/>
    <w:unhideWhenUsed/>
    <w:rsid w:val="00F81F6B"/>
  </w:style>
  <w:style w:type="character" w:customStyle="1" w:styleId="TextonotapieCar">
    <w:name w:val="Texto nota pie Car"/>
    <w:basedOn w:val="Fuentedeprrafopredeter"/>
    <w:link w:val="Textonotapie"/>
    <w:uiPriority w:val="99"/>
    <w:semiHidden/>
    <w:rsid w:val="00F81F6B"/>
  </w:style>
  <w:style w:type="character" w:styleId="Refdenotaalpie">
    <w:name w:val="footnote reference"/>
    <w:basedOn w:val="Fuentedeprrafopredeter"/>
    <w:uiPriority w:val="99"/>
    <w:semiHidden/>
    <w:unhideWhenUsed/>
    <w:rsid w:val="00F81F6B"/>
    <w:rPr>
      <w:vertAlign w:val="superscript"/>
    </w:rPr>
  </w:style>
  <w:style w:type="paragraph" w:styleId="Textodeglobo">
    <w:name w:val="Balloon Text"/>
    <w:basedOn w:val="Normal"/>
    <w:link w:val="TextodegloboCar"/>
    <w:uiPriority w:val="99"/>
    <w:semiHidden/>
    <w:unhideWhenUsed/>
    <w:rsid w:val="00D14691"/>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14691"/>
    <w:rPr>
      <w:rFonts w:ascii="Lucida Grande" w:hAnsi="Lucida Grande"/>
      <w:sz w:val="18"/>
      <w:szCs w:val="18"/>
    </w:rPr>
  </w:style>
  <w:style w:type="paragraph" w:styleId="Encabezado">
    <w:name w:val="header"/>
    <w:basedOn w:val="Normal"/>
    <w:link w:val="EncabezadoCar"/>
    <w:rsid w:val="00F41376"/>
    <w:pPr>
      <w:tabs>
        <w:tab w:val="center" w:pos="4320"/>
        <w:tab w:val="right" w:pos="8640"/>
      </w:tabs>
    </w:pPr>
  </w:style>
  <w:style w:type="character" w:customStyle="1" w:styleId="EncabezadoCar">
    <w:name w:val="Encabezado Car"/>
    <w:basedOn w:val="Fuentedeprrafopredeter"/>
    <w:link w:val="Encabezado"/>
    <w:rsid w:val="00F41376"/>
  </w:style>
  <w:style w:type="paragraph" w:styleId="Piedepgina">
    <w:name w:val="footer"/>
    <w:basedOn w:val="Normal"/>
    <w:link w:val="PiedepginaCar"/>
    <w:rsid w:val="00F41376"/>
    <w:pPr>
      <w:tabs>
        <w:tab w:val="center" w:pos="4320"/>
        <w:tab w:val="right" w:pos="8640"/>
      </w:tabs>
    </w:pPr>
  </w:style>
  <w:style w:type="character" w:customStyle="1" w:styleId="PiedepginaCar">
    <w:name w:val="Pie de página Car"/>
    <w:basedOn w:val="Fuentedeprrafopredeter"/>
    <w:link w:val="Piedepgina"/>
    <w:rsid w:val="00F41376"/>
  </w:style>
  <w:style w:type="character" w:customStyle="1" w:styleId="apple-converted-space">
    <w:name w:val="apple-converted-space"/>
    <w:basedOn w:val="Fuentedeprrafopredeter"/>
    <w:rsid w:val="00D018FA"/>
  </w:style>
  <w:style w:type="character" w:customStyle="1" w:styleId="Ttulo1Car">
    <w:name w:val="Título 1 Car"/>
    <w:basedOn w:val="Fuentedeprrafopredeter"/>
    <w:link w:val="Ttulo1"/>
    <w:rsid w:val="00B90BD7"/>
    <w:rPr>
      <w:rFonts w:asciiTheme="majorHAnsi" w:eastAsiaTheme="majorEastAsia" w:hAnsiTheme="majorHAnsi" w:cstheme="majorBidi"/>
      <w:b/>
      <w:bCs/>
      <w:color w:val="345A8A" w:themeColor="accent1" w:themeShade="B5"/>
      <w:sz w:val="32"/>
      <w:szCs w:val="32"/>
    </w:rPr>
  </w:style>
  <w:style w:type="character" w:customStyle="1" w:styleId="Ttulo3Car">
    <w:name w:val="Título 3 Car"/>
    <w:basedOn w:val="Fuentedeprrafopredeter"/>
    <w:link w:val="Ttulo3"/>
    <w:uiPriority w:val="9"/>
    <w:rsid w:val="00B90BD7"/>
    <w:rPr>
      <w:rFonts w:ascii="Times" w:hAnsi="Times"/>
      <w:b/>
      <w:sz w:val="27"/>
      <w:szCs w:val="20"/>
    </w:rPr>
  </w:style>
  <w:style w:type="character" w:styleId="Hipervnculo">
    <w:name w:val="Hyperlink"/>
    <w:basedOn w:val="Fuentedeprrafopredeter"/>
    <w:rsid w:val="00B90BD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507507">
      <w:bodyDiv w:val="1"/>
      <w:marLeft w:val="0"/>
      <w:marRight w:val="0"/>
      <w:marTop w:val="0"/>
      <w:marBottom w:val="0"/>
      <w:divBdr>
        <w:top w:val="none" w:sz="0" w:space="0" w:color="auto"/>
        <w:left w:val="none" w:sz="0" w:space="0" w:color="auto"/>
        <w:bottom w:val="none" w:sz="0" w:space="0" w:color="auto"/>
        <w:right w:val="none" w:sz="0" w:space="0" w:color="auto"/>
      </w:divBdr>
      <w:divsChild>
        <w:div w:id="932518096">
          <w:marLeft w:val="0"/>
          <w:marRight w:val="0"/>
          <w:marTop w:val="0"/>
          <w:marBottom w:val="0"/>
          <w:divBdr>
            <w:top w:val="none" w:sz="0" w:space="0" w:color="auto"/>
            <w:left w:val="none" w:sz="0" w:space="0" w:color="auto"/>
            <w:bottom w:val="none" w:sz="0" w:space="0" w:color="auto"/>
            <w:right w:val="none" w:sz="0" w:space="0" w:color="auto"/>
          </w:divBdr>
          <w:divsChild>
            <w:div w:id="594630220">
              <w:marLeft w:val="0"/>
              <w:marRight w:val="0"/>
              <w:marTop w:val="0"/>
              <w:marBottom w:val="0"/>
              <w:divBdr>
                <w:top w:val="none" w:sz="0" w:space="0" w:color="auto"/>
                <w:left w:val="none" w:sz="0" w:space="0" w:color="auto"/>
                <w:bottom w:val="none" w:sz="0" w:space="0" w:color="auto"/>
                <w:right w:val="none" w:sz="0" w:space="0" w:color="auto"/>
              </w:divBdr>
              <w:divsChild>
                <w:div w:id="71054204">
                  <w:marLeft w:val="0"/>
                  <w:marRight w:val="0"/>
                  <w:marTop w:val="0"/>
                  <w:marBottom w:val="0"/>
                  <w:divBdr>
                    <w:top w:val="none" w:sz="0" w:space="0" w:color="auto"/>
                    <w:left w:val="none" w:sz="0" w:space="0" w:color="auto"/>
                    <w:bottom w:val="none" w:sz="0" w:space="0" w:color="auto"/>
                    <w:right w:val="none" w:sz="0" w:space="0" w:color="auto"/>
                  </w:divBdr>
                  <w:divsChild>
                    <w:div w:id="28685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70740">
      <w:bodyDiv w:val="1"/>
      <w:marLeft w:val="0"/>
      <w:marRight w:val="0"/>
      <w:marTop w:val="0"/>
      <w:marBottom w:val="0"/>
      <w:divBdr>
        <w:top w:val="none" w:sz="0" w:space="0" w:color="auto"/>
        <w:left w:val="none" w:sz="0" w:space="0" w:color="auto"/>
        <w:bottom w:val="none" w:sz="0" w:space="0" w:color="auto"/>
        <w:right w:val="none" w:sz="0" w:space="0" w:color="auto"/>
      </w:divBdr>
      <w:divsChild>
        <w:div w:id="697316672">
          <w:marLeft w:val="0"/>
          <w:marRight w:val="0"/>
          <w:marTop w:val="0"/>
          <w:marBottom w:val="0"/>
          <w:divBdr>
            <w:top w:val="none" w:sz="0" w:space="0" w:color="auto"/>
            <w:left w:val="none" w:sz="0" w:space="0" w:color="auto"/>
            <w:bottom w:val="none" w:sz="0" w:space="0" w:color="auto"/>
            <w:right w:val="none" w:sz="0" w:space="0" w:color="auto"/>
          </w:divBdr>
          <w:divsChild>
            <w:div w:id="1893077418">
              <w:marLeft w:val="0"/>
              <w:marRight w:val="0"/>
              <w:marTop w:val="0"/>
              <w:marBottom w:val="0"/>
              <w:divBdr>
                <w:top w:val="none" w:sz="0" w:space="0" w:color="auto"/>
                <w:left w:val="none" w:sz="0" w:space="0" w:color="auto"/>
                <w:bottom w:val="none" w:sz="0" w:space="0" w:color="auto"/>
                <w:right w:val="none" w:sz="0" w:space="0" w:color="auto"/>
              </w:divBdr>
              <w:divsChild>
                <w:div w:id="15574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75340">
      <w:bodyDiv w:val="1"/>
      <w:marLeft w:val="0"/>
      <w:marRight w:val="0"/>
      <w:marTop w:val="0"/>
      <w:marBottom w:val="0"/>
      <w:divBdr>
        <w:top w:val="none" w:sz="0" w:space="0" w:color="auto"/>
        <w:left w:val="none" w:sz="0" w:space="0" w:color="auto"/>
        <w:bottom w:val="none" w:sz="0" w:space="0" w:color="auto"/>
        <w:right w:val="none" w:sz="0" w:space="0" w:color="auto"/>
      </w:divBdr>
    </w:div>
    <w:div w:id="200096883">
      <w:bodyDiv w:val="1"/>
      <w:marLeft w:val="0"/>
      <w:marRight w:val="0"/>
      <w:marTop w:val="0"/>
      <w:marBottom w:val="0"/>
      <w:divBdr>
        <w:top w:val="none" w:sz="0" w:space="0" w:color="auto"/>
        <w:left w:val="none" w:sz="0" w:space="0" w:color="auto"/>
        <w:bottom w:val="none" w:sz="0" w:space="0" w:color="auto"/>
        <w:right w:val="none" w:sz="0" w:space="0" w:color="auto"/>
      </w:divBdr>
      <w:divsChild>
        <w:div w:id="638076626">
          <w:marLeft w:val="0"/>
          <w:marRight w:val="0"/>
          <w:marTop w:val="0"/>
          <w:marBottom w:val="0"/>
          <w:divBdr>
            <w:top w:val="none" w:sz="0" w:space="0" w:color="auto"/>
            <w:left w:val="none" w:sz="0" w:space="0" w:color="auto"/>
            <w:bottom w:val="none" w:sz="0" w:space="0" w:color="auto"/>
            <w:right w:val="none" w:sz="0" w:space="0" w:color="auto"/>
          </w:divBdr>
          <w:divsChild>
            <w:div w:id="747269302">
              <w:marLeft w:val="0"/>
              <w:marRight w:val="0"/>
              <w:marTop w:val="0"/>
              <w:marBottom w:val="0"/>
              <w:divBdr>
                <w:top w:val="none" w:sz="0" w:space="0" w:color="auto"/>
                <w:left w:val="none" w:sz="0" w:space="0" w:color="auto"/>
                <w:bottom w:val="none" w:sz="0" w:space="0" w:color="auto"/>
                <w:right w:val="none" w:sz="0" w:space="0" w:color="auto"/>
              </w:divBdr>
              <w:divsChild>
                <w:div w:id="72622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71656">
      <w:bodyDiv w:val="1"/>
      <w:marLeft w:val="0"/>
      <w:marRight w:val="0"/>
      <w:marTop w:val="0"/>
      <w:marBottom w:val="0"/>
      <w:divBdr>
        <w:top w:val="none" w:sz="0" w:space="0" w:color="auto"/>
        <w:left w:val="none" w:sz="0" w:space="0" w:color="auto"/>
        <w:bottom w:val="none" w:sz="0" w:space="0" w:color="auto"/>
        <w:right w:val="none" w:sz="0" w:space="0" w:color="auto"/>
      </w:divBdr>
    </w:div>
    <w:div w:id="299380876">
      <w:bodyDiv w:val="1"/>
      <w:marLeft w:val="0"/>
      <w:marRight w:val="0"/>
      <w:marTop w:val="0"/>
      <w:marBottom w:val="0"/>
      <w:divBdr>
        <w:top w:val="none" w:sz="0" w:space="0" w:color="auto"/>
        <w:left w:val="none" w:sz="0" w:space="0" w:color="auto"/>
        <w:bottom w:val="none" w:sz="0" w:space="0" w:color="auto"/>
        <w:right w:val="none" w:sz="0" w:space="0" w:color="auto"/>
      </w:divBdr>
    </w:div>
    <w:div w:id="332801604">
      <w:bodyDiv w:val="1"/>
      <w:marLeft w:val="0"/>
      <w:marRight w:val="0"/>
      <w:marTop w:val="0"/>
      <w:marBottom w:val="0"/>
      <w:divBdr>
        <w:top w:val="none" w:sz="0" w:space="0" w:color="auto"/>
        <w:left w:val="none" w:sz="0" w:space="0" w:color="auto"/>
        <w:bottom w:val="none" w:sz="0" w:space="0" w:color="auto"/>
        <w:right w:val="none" w:sz="0" w:space="0" w:color="auto"/>
      </w:divBdr>
      <w:divsChild>
        <w:div w:id="170533661">
          <w:marLeft w:val="0"/>
          <w:marRight w:val="0"/>
          <w:marTop w:val="0"/>
          <w:marBottom w:val="0"/>
          <w:divBdr>
            <w:top w:val="none" w:sz="0" w:space="0" w:color="auto"/>
            <w:left w:val="none" w:sz="0" w:space="0" w:color="auto"/>
            <w:bottom w:val="none" w:sz="0" w:space="0" w:color="auto"/>
            <w:right w:val="none" w:sz="0" w:space="0" w:color="auto"/>
          </w:divBdr>
          <w:divsChild>
            <w:div w:id="1310398312">
              <w:marLeft w:val="0"/>
              <w:marRight w:val="0"/>
              <w:marTop w:val="0"/>
              <w:marBottom w:val="0"/>
              <w:divBdr>
                <w:top w:val="none" w:sz="0" w:space="0" w:color="auto"/>
                <w:left w:val="none" w:sz="0" w:space="0" w:color="auto"/>
                <w:bottom w:val="none" w:sz="0" w:space="0" w:color="auto"/>
                <w:right w:val="none" w:sz="0" w:space="0" w:color="auto"/>
              </w:divBdr>
              <w:divsChild>
                <w:div w:id="92368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23260">
      <w:bodyDiv w:val="1"/>
      <w:marLeft w:val="0"/>
      <w:marRight w:val="0"/>
      <w:marTop w:val="0"/>
      <w:marBottom w:val="0"/>
      <w:divBdr>
        <w:top w:val="none" w:sz="0" w:space="0" w:color="auto"/>
        <w:left w:val="none" w:sz="0" w:space="0" w:color="auto"/>
        <w:bottom w:val="none" w:sz="0" w:space="0" w:color="auto"/>
        <w:right w:val="none" w:sz="0" w:space="0" w:color="auto"/>
      </w:divBdr>
      <w:divsChild>
        <w:div w:id="1304580976">
          <w:marLeft w:val="0"/>
          <w:marRight w:val="0"/>
          <w:marTop w:val="0"/>
          <w:marBottom w:val="0"/>
          <w:divBdr>
            <w:top w:val="none" w:sz="0" w:space="0" w:color="auto"/>
            <w:left w:val="none" w:sz="0" w:space="0" w:color="auto"/>
            <w:bottom w:val="none" w:sz="0" w:space="0" w:color="auto"/>
            <w:right w:val="none" w:sz="0" w:space="0" w:color="auto"/>
          </w:divBdr>
          <w:divsChild>
            <w:div w:id="937982446">
              <w:marLeft w:val="0"/>
              <w:marRight w:val="0"/>
              <w:marTop w:val="0"/>
              <w:marBottom w:val="0"/>
              <w:divBdr>
                <w:top w:val="none" w:sz="0" w:space="0" w:color="auto"/>
                <w:left w:val="none" w:sz="0" w:space="0" w:color="auto"/>
                <w:bottom w:val="none" w:sz="0" w:space="0" w:color="auto"/>
                <w:right w:val="none" w:sz="0" w:space="0" w:color="auto"/>
              </w:divBdr>
              <w:divsChild>
                <w:div w:id="152030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740987">
      <w:bodyDiv w:val="1"/>
      <w:marLeft w:val="0"/>
      <w:marRight w:val="0"/>
      <w:marTop w:val="0"/>
      <w:marBottom w:val="0"/>
      <w:divBdr>
        <w:top w:val="none" w:sz="0" w:space="0" w:color="auto"/>
        <w:left w:val="none" w:sz="0" w:space="0" w:color="auto"/>
        <w:bottom w:val="none" w:sz="0" w:space="0" w:color="auto"/>
        <w:right w:val="none" w:sz="0" w:space="0" w:color="auto"/>
      </w:divBdr>
      <w:divsChild>
        <w:div w:id="1618952874">
          <w:marLeft w:val="0"/>
          <w:marRight w:val="0"/>
          <w:marTop w:val="0"/>
          <w:marBottom w:val="0"/>
          <w:divBdr>
            <w:top w:val="none" w:sz="0" w:space="0" w:color="auto"/>
            <w:left w:val="none" w:sz="0" w:space="0" w:color="auto"/>
            <w:bottom w:val="none" w:sz="0" w:space="0" w:color="auto"/>
            <w:right w:val="none" w:sz="0" w:space="0" w:color="auto"/>
          </w:divBdr>
          <w:divsChild>
            <w:div w:id="1819489773">
              <w:marLeft w:val="0"/>
              <w:marRight w:val="0"/>
              <w:marTop w:val="0"/>
              <w:marBottom w:val="0"/>
              <w:divBdr>
                <w:top w:val="none" w:sz="0" w:space="0" w:color="auto"/>
                <w:left w:val="none" w:sz="0" w:space="0" w:color="auto"/>
                <w:bottom w:val="none" w:sz="0" w:space="0" w:color="auto"/>
                <w:right w:val="none" w:sz="0" w:space="0" w:color="auto"/>
              </w:divBdr>
              <w:divsChild>
                <w:div w:id="70066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785833">
      <w:bodyDiv w:val="1"/>
      <w:marLeft w:val="0"/>
      <w:marRight w:val="0"/>
      <w:marTop w:val="0"/>
      <w:marBottom w:val="0"/>
      <w:divBdr>
        <w:top w:val="none" w:sz="0" w:space="0" w:color="auto"/>
        <w:left w:val="none" w:sz="0" w:space="0" w:color="auto"/>
        <w:bottom w:val="none" w:sz="0" w:space="0" w:color="auto"/>
        <w:right w:val="none" w:sz="0" w:space="0" w:color="auto"/>
      </w:divBdr>
      <w:divsChild>
        <w:div w:id="2100641163">
          <w:marLeft w:val="0"/>
          <w:marRight w:val="0"/>
          <w:marTop w:val="0"/>
          <w:marBottom w:val="0"/>
          <w:divBdr>
            <w:top w:val="none" w:sz="0" w:space="0" w:color="auto"/>
            <w:left w:val="none" w:sz="0" w:space="0" w:color="auto"/>
            <w:bottom w:val="none" w:sz="0" w:space="0" w:color="auto"/>
            <w:right w:val="none" w:sz="0" w:space="0" w:color="auto"/>
          </w:divBdr>
          <w:divsChild>
            <w:div w:id="916330434">
              <w:marLeft w:val="0"/>
              <w:marRight w:val="0"/>
              <w:marTop w:val="0"/>
              <w:marBottom w:val="0"/>
              <w:divBdr>
                <w:top w:val="none" w:sz="0" w:space="0" w:color="auto"/>
                <w:left w:val="none" w:sz="0" w:space="0" w:color="auto"/>
                <w:bottom w:val="none" w:sz="0" w:space="0" w:color="auto"/>
                <w:right w:val="none" w:sz="0" w:space="0" w:color="auto"/>
              </w:divBdr>
              <w:divsChild>
                <w:div w:id="967474153">
                  <w:marLeft w:val="0"/>
                  <w:marRight w:val="0"/>
                  <w:marTop w:val="0"/>
                  <w:marBottom w:val="0"/>
                  <w:divBdr>
                    <w:top w:val="none" w:sz="0" w:space="0" w:color="auto"/>
                    <w:left w:val="none" w:sz="0" w:space="0" w:color="auto"/>
                    <w:bottom w:val="none" w:sz="0" w:space="0" w:color="auto"/>
                    <w:right w:val="none" w:sz="0" w:space="0" w:color="auto"/>
                  </w:divBdr>
                  <w:divsChild>
                    <w:div w:id="172525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86390">
      <w:bodyDiv w:val="1"/>
      <w:marLeft w:val="0"/>
      <w:marRight w:val="0"/>
      <w:marTop w:val="0"/>
      <w:marBottom w:val="0"/>
      <w:divBdr>
        <w:top w:val="none" w:sz="0" w:space="0" w:color="auto"/>
        <w:left w:val="none" w:sz="0" w:space="0" w:color="auto"/>
        <w:bottom w:val="none" w:sz="0" w:space="0" w:color="auto"/>
        <w:right w:val="none" w:sz="0" w:space="0" w:color="auto"/>
      </w:divBdr>
      <w:divsChild>
        <w:div w:id="1716658102">
          <w:marLeft w:val="0"/>
          <w:marRight w:val="0"/>
          <w:marTop w:val="0"/>
          <w:marBottom w:val="0"/>
          <w:divBdr>
            <w:top w:val="none" w:sz="0" w:space="0" w:color="auto"/>
            <w:left w:val="none" w:sz="0" w:space="0" w:color="auto"/>
            <w:bottom w:val="none" w:sz="0" w:space="0" w:color="auto"/>
            <w:right w:val="none" w:sz="0" w:space="0" w:color="auto"/>
          </w:divBdr>
          <w:divsChild>
            <w:div w:id="1190214930">
              <w:marLeft w:val="0"/>
              <w:marRight w:val="0"/>
              <w:marTop w:val="0"/>
              <w:marBottom w:val="0"/>
              <w:divBdr>
                <w:top w:val="none" w:sz="0" w:space="0" w:color="auto"/>
                <w:left w:val="none" w:sz="0" w:space="0" w:color="auto"/>
                <w:bottom w:val="none" w:sz="0" w:space="0" w:color="auto"/>
                <w:right w:val="none" w:sz="0" w:space="0" w:color="auto"/>
              </w:divBdr>
              <w:divsChild>
                <w:div w:id="5404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074022">
      <w:bodyDiv w:val="1"/>
      <w:marLeft w:val="0"/>
      <w:marRight w:val="0"/>
      <w:marTop w:val="0"/>
      <w:marBottom w:val="0"/>
      <w:divBdr>
        <w:top w:val="none" w:sz="0" w:space="0" w:color="auto"/>
        <w:left w:val="none" w:sz="0" w:space="0" w:color="auto"/>
        <w:bottom w:val="none" w:sz="0" w:space="0" w:color="auto"/>
        <w:right w:val="none" w:sz="0" w:space="0" w:color="auto"/>
      </w:divBdr>
      <w:divsChild>
        <w:div w:id="310868711">
          <w:marLeft w:val="0"/>
          <w:marRight w:val="0"/>
          <w:marTop w:val="0"/>
          <w:marBottom w:val="0"/>
          <w:divBdr>
            <w:top w:val="none" w:sz="0" w:space="0" w:color="auto"/>
            <w:left w:val="none" w:sz="0" w:space="0" w:color="auto"/>
            <w:bottom w:val="none" w:sz="0" w:space="0" w:color="auto"/>
            <w:right w:val="none" w:sz="0" w:space="0" w:color="auto"/>
          </w:divBdr>
          <w:divsChild>
            <w:div w:id="476922154">
              <w:marLeft w:val="0"/>
              <w:marRight w:val="0"/>
              <w:marTop w:val="0"/>
              <w:marBottom w:val="0"/>
              <w:divBdr>
                <w:top w:val="none" w:sz="0" w:space="0" w:color="auto"/>
                <w:left w:val="none" w:sz="0" w:space="0" w:color="auto"/>
                <w:bottom w:val="none" w:sz="0" w:space="0" w:color="auto"/>
                <w:right w:val="none" w:sz="0" w:space="0" w:color="auto"/>
              </w:divBdr>
              <w:divsChild>
                <w:div w:id="42823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278176">
      <w:bodyDiv w:val="1"/>
      <w:marLeft w:val="0"/>
      <w:marRight w:val="0"/>
      <w:marTop w:val="0"/>
      <w:marBottom w:val="0"/>
      <w:divBdr>
        <w:top w:val="none" w:sz="0" w:space="0" w:color="auto"/>
        <w:left w:val="none" w:sz="0" w:space="0" w:color="auto"/>
        <w:bottom w:val="none" w:sz="0" w:space="0" w:color="auto"/>
        <w:right w:val="none" w:sz="0" w:space="0" w:color="auto"/>
      </w:divBdr>
      <w:divsChild>
        <w:div w:id="479930345">
          <w:marLeft w:val="0"/>
          <w:marRight w:val="0"/>
          <w:marTop w:val="0"/>
          <w:marBottom w:val="0"/>
          <w:divBdr>
            <w:top w:val="none" w:sz="0" w:space="0" w:color="auto"/>
            <w:left w:val="none" w:sz="0" w:space="0" w:color="auto"/>
            <w:bottom w:val="none" w:sz="0" w:space="0" w:color="auto"/>
            <w:right w:val="none" w:sz="0" w:space="0" w:color="auto"/>
          </w:divBdr>
          <w:divsChild>
            <w:div w:id="1558978319">
              <w:marLeft w:val="0"/>
              <w:marRight w:val="0"/>
              <w:marTop w:val="0"/>
              <w:marBottom w:val="0"/>
              <w:divBdr>
                <w:top w:val="none" w:sz="0" w:space="0" w:color="auto"/>
                <w:left w:val="none" w:sz="0" w:space="0" w:color="auto"/>
                <w:bottom w:val="none" w:sz="0" w:space="0" w:color="auto"/>
                <w:right w:val="none" w:sz="0" w:space="0" w:color="auto"/>
              </w:divBdr>
              <w:divsChild>
                <w:div w:id="917980994">
                  <w:marLeft w:val="0"/>
                  <w:marRight w:val="0"/>
                  <w:marTop w:val="0"/>
                  <w:marBottom w:val="0"/>
                  <w:divBdr>
                    <w:top w:val="none" w:sz="0" w:space="0" w:color="auto"/>
                    <w:left w:val="none" w:sz="0" w:space="0" w:color="auto"/>
                    <w:bottom w:val="none" w:sz="0" w:space="0" w:color="auto"/>
                    <w:right w:val="none" w:sz="0" w:space="0" w:color="auto"/>
                  </w:divBdr>
                  <w:divsChild>
                    <w:div w:id="50648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367643">
      <w:bodyDiv w:val="1"/>
      <w:marLeft w:val="0"/>
      <w:marRight w:val="0"/>
      <w:marTop w:val="0"/>
      <w:marBottom w:val="0"/>
      <w:divBdr>
        <w:top w:val="none" w:sz="0" w:space="0" w:color="auto"/>
        <w:left w:val="none" w:sz="0" w:space="0" w:color="auto"/>
        <w:bottom w:val="none" w:sz="0" w:space="0" w:color="auto"/>
        <w:right w:val="none" w:sz="0" w:space="0" w:color="auto"/>
      </w:divBdr>
      <w:divsChild>
        <w:div w:id="1659846544">
          <w:marLeft w:val="0"/>
          <w:marRight w:val="0"/>
          <w:marTop w:val="0"/>
          <w:marBottom w:val="0"/>
          <w:divBdr>
            <w:top w:val="none" w:sz="0" w:space="0" w:color="auto"/>
            <w:left w:val="none" w:sz="0" w:space="0" w:color="auto"/>
            <w:bottom w:val="none" w:sz="0" w:space="0" w:color="auto"/>
            <w:right w:val="none" w:sz="0" w:space="0" w:color="auto"/>
          </w:divBdr>
          <w:divsChild>
            <w:div w:id="1044912566">
              <w:marLeft w:val="0"/>
              <w:marRight w:val="0"/>
              <w:marTop w:val="0"/>
              <w:marBottom w:val="0"/>
              <w:divBdr>
                <w:top w:val="none" w:sz="0" w:space="0" w:color="auto"/>
                <w:left w:val="none" w:sz="0" w:space="0" w:color="auto"/>
                <w:bottom w:val="none" w:sz="0" w:space="0" w:color="auto"/>
                <w:right w:val="none" w:sz="0" w:space="0" w:color="auto"/>
              </w:divBdr>
              <w:divsChild>
                <w:div w:id="34560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073792">
      <w:bodyDiv w:val="1"/>
      <w:marLeft w:val="0"/>
      <w:marRight w:val="0"/>
      <w:marTop w:val="0"/>
      <w:marBottom w:val="0"/>
      <w:divBdr>
        <w:top w:val="none" w:sz="0" w:space="0" w:color="auto"/>
        <w:left w:val="none" w:sz="0" w:space="0" w:color="auto"/>
        <w:bottom w:val="none" w:sz="0" w:space="0" w:color="auto"/>
        <w:right w:val="none" w:sz="0" w:space="0" w:color="auto"/>
      </w:divBdr>
      <w:divsChild>
        <w:div w:id="747926190">
          <w:marLeft w:val="0"/>
          <w:marRight w:val="0"/>
          <w:marTop w:val="0"/>
          <w:marBottom w:val="0"/>
          <w:divBdr>
            <w:top w:val="none" w:sz="0" w:space="0" w:color="auto"/>
            <w:left w:val="none" w:sz="0" w:space="0" w:color="auto"/>
            <w:bottom w:val="none" w:sz="0" w:space="0" w:color="auto"/>
            <w:right w:val="none" w:sz="0" w:space="0" w:color="auto"/>
          </w:divBdr>
          <w:divsChild>
            <w:div w:id="1190099447">
              <w:marLeft w:val="0"/>
              <w:marRight w:val="0"/>
              <w:marTop w:val="0"/>
              <w:marBottom w:val="0"/>
              <w:divBdr>
                <w:top w:val="none" w:sz="0" w:space="0" w:color="auto"/>
                <w:left w:val="none" w:sz="0" w:space="0" w:color="auto"/>
                <w:bottom w:val="none" w:sz="0" w:space="0" w:color="auto"/>
                <w:right w:val="none" w:sz="0" w:space="0" w:color="auto"/>
              </w:divBdr>
              <w:divsChild>
                <w:div w:id="160969266">
                  <w:marLeft w:val="0"/>
                  <w:marRight w:val="0"/>
                  <w:marTop w:val="0"/>
                  <w:marBottom w:val="0"/>
                  <w:divBdr>
                    <w:top w:val="none" w:sz="0" w:space="0" w:color="auto"/>
                    <w:left w:val="none" w:sz="0" w:space="0" w:color="auto"/>
                    <w:bottom w:val="none" w:sz="0" w:space="0" w:color="auto"/>
                    <w:right w:val="none" w:sz="0" w:space="0" w:color="auto"/>
                  </w:divBdr>
                  <w:divsChild>
                    <w:div w:id="72583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163108">
      <w:bodyDiv w:val="1"/>
      <w:marLeft w:val="0"/>
      <w:marRight w:val="0"/>
      <w:marTop w:val="0"/>
      <w:marBottom w:val="0"/>
      <w:divBdr>
        <w:top w:val="none" w:sz="0" w:space="0" w:color="auto"/>
        <w:left w:val="none" w:sz="0" w:space="0" w:color="auto"/>
        <w:bottom w:val="none" w:sz="0" w:space="0" w:color="auto"/>
        <w:right w:val="none" w:sz="0" w:space="0" w:color="auto"/>
      </w:divBdr>
      <w:divsChild>
        <w:div w:id="1643804127">
          <w:marLeft w:val="0"/>
          <w:marRight w:val="0"/>
          <w:marTop w:val="0"/>
          <w:marBottom w:val="0"/>
          <w:divBdr>
            <w:top w:val="none" w:sz="0" w:space="0" w:color="auto"/>
            <w:left w:val="none" w:sz="0" w:space="0" w:color="auto"/>
            <w:bottom w:val="none" w:sz="0" w:space="0" w:color="auto"/>
            <w:right w:val="none" w:sz="0" w:space="0" w:color="auto"/>
          </w:divBdr>
          <w:divsChild>
            <w:div w:id="417556553">
              <w:marLeft w:val="0"/>
              <w:marRight w:val="0"/>
              <w:marTop w:val="0"/>
              <w:marBottom w:val="0"/>
              <w:divBdr>
                <w:top w:val="none" w:sz="0" w:space="0" w:color="auto"/>
                <w:left w:val="none" w:sz="0" w:space="0" w:color="auto"/>
                <w:bottom w:val="none" w:sz="0" w:space="0" w:color="auto"/>
                <w:right w:val="none" w:sz="0" w:space="0" w:color="auto"/>
              </w:divBdr>
              <w:divsChild>
                <w:div w:id="64979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372">
      <w:bodyDiv w:val="1"/>
      <w:marLeft w:val="0"/>
      <w:marRight w:val="0"/>
      <w:marTop w:val="0"/>
      <w:marBottom w:val="0"/>
      <w:divBdr>
        <w:top w:val="none" w:sz="0" w:space="0" w:color="auto"/>
        <w:left w:val="none" w:sz="0" w:space="0" w:color="auto"/>
        <w:bottom w:val="none" w:sz="0" w:space="0" w:color="auto"/>
        <w:right w:val="none" w:sz="0" w:space="0" w:color="auto"/>
      </w:divBdr>
      <w:divsChild>
        <w:div w:id="189343187">
          <w:marLeft w:val="0"/>
          <w:marRight w:val="0"/>
          <w:marTop w:val="0"/>
          <w:marBottom w:val="0"/>
          <w:divBdr>
            <w:top w:val="none" w:sz="0" w:space="0" w:color="auto"/>
            <w:left w:val="none" w:sz="0" w:space="0" w:color="auto"/>
            <w:bottom w:val="none" w:sz="0" w:space="0" w:color="auto"/>
            <w:right w:val="none" w:sz="0" w:space="0" w:color="auto"/>
          </w:divBdr>
          <w:divsChild>
            <w:div w:id="480196722">
              <w:marLeft w:val="0"/>
              <w:marRight w:val="0"/>
              <w:marTop w:val="0"/>
              <w:marBottom w:val="0"/>
              <w:divBdr>
                <w:top w:val="none" w:sz="0" w:space="0" w:color="auto"/>
                <w:left w:val="none" w:sz="0" w:space="0" w:color="auto"/>
                <w:bottom w:val="none" w:sz="0" w:space="0" w:color="auto"/>
                <w:right w:val="none" w:sz="0" w:space="0" w:color="auto"/>
              </w:divBdr>
              <w:divsChild>
                <w:div w:id="65641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935571">
      <w:bodyDiv w:val="1"/>
      <w:marLeft w:val="0"/>
      <w:marRight w:val="0"/>
      <w:marTop w:val="0"/>
      <w:marBottom w:val="0"/>
      <w:divBdr>
        <w:top w:val="none" w:sz="0" w:space="0" w:color="auto"/>
        <w:left w:val="none" w:sz="0" w:space="0" w:color="auto"/>
        <w:bottom w:val="none" w:sz="0" w:space="0" w:color="auto"/>
        <w:right w:val="none" w:sz="0" w:space="0" w:color="auto"/>
      </w:divBdr>
      <w:divsChild>
        <w:div w:id="777258422">
          <w:marLeft w:val="0"/>
          <w:marRight w:val="0"/>
          <w:marTop w:val="0"/>
          <w:marBottom w:val="0"/>
          <w:divBdr>
            <w:top w:val="none" w:sz="0" w:space="0" w:color="auto"/>
            <w:left w:val="none" w:sz="0" w:space="0" w:color="auto"/>
            <w:bottom w:val="none" w:sz="0" w:space="0" w:color="auto"/>
            <w:right w:val="none" w:sz="0" w:space="0" w:color="auto"/>
          </w:divBdr>
          <w:divsChild>
            <w:div w:id="1614240088">
              <w:marLeft w:val="0"/>
              <w:marRight w:val="0"/>
              <w:marTop w:val="0"/>
              <w:marBottom w:val="0"/>
              <w:divBdr>
                <w:top w:val="none" w:sz="0" w:space="0" w:color="auto"/>
                <w:left w:val="none" w:sz="0" w:space="0" w:color="auto"/>
                <w:bottom w:val="none" w:sz="0" w:space="0" w:color="auto"/>
                <w:right w:val="none" w:sz="0" w:space="0" w:color="auto"/>
              </w:divBdr>
              <w:divsChild>
                <w:div w:id="63263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71239">
      <w:bodyDiv w:val="1"/>
      <w:marLeft w:val="0"/>
      <w:marRight w:val="0"/>
      <w:marTop w:val="0"/>
      <w:marBottom w:val="0"/>
      <w:divBdr>
        <w:top w:val="none" w:sz="0" w:space="0" w:color="auto"/>
        <w:left w:val="none" w:sz="0" w:space="0" w:color="auto"/>
        <w:bottom w:val="none" w:sz="0" w:space="0" w:color="auto"/>
        <w:right w:val="none" w:sz="0" w:space="0" w:color="auto"/>
      </w:divBdr>
      <w:divsChild>
        <w:div w:id="1341152630">
          <w:marLeft w:val="706"/>
          <w:marRight w:val="0"/>
          <w:marTop w:val="0"/>
          <w:marBottom w:val="0"/>
          <w:divBdr>
            <w:top w:val="none" w:sz="0" w:space="0" w:color="auto"/>
            <w:left w:val="none" w:sz="0" w:space="0" w:color="auto"/>
            <w:bottom w:val="none" w:sz="0" w:space="0" w:color="auto"/>
            <w:right w:val="none" w:sz="0" w:space="0" w:color="auto"/>
          </w:divBdr>
        </w:div>
      </w:divsChild>
    </w:div>
    <w:div w:id="765468595">
      <w:bodyDiv w:val="1"/>
      <w:marLeft w:val="0"/>
      <w:marRight w:val="0"/>
      <w:marTop w:val="0"/>
      <w:marBottom w:val="0"/>
      <w:divBdr>
        <w:top w:val="none" w:sz="0" w:space="0" w:color="auto"/>
        <w:left w:val="none" w:sz="0" w:space="0" w:color="auto"/>
        <w:bottom w:val="none" w:sz="0" w:space="0" w:color="auto"/>
        <w:right w:val="none" w:sz="0" w:space="0" w:color="auto"/>
      </w:divBdr>
      <w:divsChild>
        <w:div w:id="1435126757">
          <w:marLeft w:val="0"/>
          <w:marRight w:val="0"/>
          <w:marTop w:val="0"/>
          <w:marBottom w:val="0"/>
          <w:divBdr>
            <w:top w:val="none" w:sz="0" w:space="0" w:color="auto"/>
            <w:left w:val="none" w:sz="0" w:space="0" w:color="auto"/>
            <w:bottom w:val="none" w:sz="0" w:space="0" w:color="auto"/>
            <w:right w:val="none" w:sz="0" w:space="0" w:color="auto"/>
          </w:divBdr>
          <w:divsChild>
            <w:div w:id="2052144121">
              <w:marLeft w:val="0"/>
              <w:marRight w:val="0"/>
              <w:marTop w:val="0"/>
              <w:marBottom w:val="0"/>
              <w:divBdr>
                <w:top w:val="none" w:sz="0" w:space="0" w:color="auto"/>
                <w:left w:val="none" w:sz="0" w:space="0" w:color="auto"/>
                <w:bottom w:val="none" w:sz="0" w:space="0" w:color="auto"/>
                <w:right w:val="none" w:sz="0" w:space="0" w:color="auto"/>
              </w:divBdr>
              <w:divsChild>
                <w:div w:id="100246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231794">
      <w:bodyDiv w:val="1"/>
      <w:marLeft w:val="0"/>
      <w:marRight w:val="0"/>
      <w:marTop w:val="0"/>
      <w:marBottom w:val="0"/>
      <w:divBdr>
        <w:top w:val="none" w:sz="0" w:space="0" w:color="auto"/>
        <w:left w:val="none" w:sz="0" w:space="0" w:color="auto"/>
        <w:bottom w:val="none" w:sz="0" w:space="0" w:color="auto"/>
        <w:right w:val="none" w:sz="0" w:space="0" w:color="auto"/>
      </w:divBdr>
      <w:divsChild>
        <w:div w:id="1165124526">
          <w:marLeft w:val="0"/>
          <w:marRight w:val="0"/>
          <w:marTop w:val="0"/>
          <w:marBottom w:val="0"/>
          <w:divBdr>
            <w:top w:val="none" w:sz="0" w:space="0" w:color="auto"/>
            <w:left w:val="none" w:sz="0" w:space="0" w:color="auto"/>
            <w:bottom w:val="none" w:sz="0" w:space="0" w:color="auto"/>
            <w:right w:val="none" w:sz="0" w:space="0" w:color="auto"/>
          </w:divBdr>
          <w:divsChild>
            <w:div w:id="1894340756">
              <w:marLeft w:val="0"/>
              <w:marRight w:val="0"/>
              <w:marTop w:val="0"/>
              <w:marBottom w:val="0"/>
              <w:divBdr>
                <w:top w:val="none" w:sz="0" w:space="0" w:color="auto"/>
                <w:left w:val="none" w:sz="0" w:space="0" w:color="auto"/>
                <w:bottom w:val="none" w:sz="0" w:space="0" w:color="auto"/>
                <w:right w:val="none" w:sz="0" w:space="0" w:color="auto"/>
              </w:divBdr>
              <w:divsChild>
                <w:div w:id="75093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139241">
      <w:bodyDiv w:val="1"/>
      <w:marLeft w:val="0"/>
      <w:marRight w:val="0"/>
      <w:marTop w:val="0"/>
      <w:marBottom w:val="0"/>
      <w:divBdr>
        <w:top w:val="none" w:sz="0" w:space="0" w:color="auto"/>
        <w:left w:val="none" w:sz="0" w:space="0" w:color="auto"/>
        <w:bottom w:val="none" w:sz="0" w:space="0" w:color="auto"/>
        <w:right w:val="none" w:sz="0" w:space="0" w:color="auto"/>
      </w:divBdr>
      <w:divsChild>
        <w:div w:id="2019430542">
          <w:marLeft w:val="0"/>
          <w:marRight w:val="0"/>
          <w:marTop w:val="0"/>
          <w:marBottom w:val="0"/>
          <w:divBdr>
            <w:top w:val="none" w:sz="0" w:space="0" w:color="auto"/>
            <w:left w:val="none" w:sz="0" w:space="0" w:color="auto"/>
            <w:bottom w:val="none" w:sz="0" w:space="0" w:color="auto"/>
            <w:right w:val="none" w:sz="0" w:space="0" w:color="auto"/>
          </w:divBdr>
          <w:divsChild>
            <w:div w:id="1634019437">
              <w:marLeft w:val="0"/>
              <w:marRight w:val="0"/>
              <w:marTop w:val="0"/>
              <w:marBottom w:val="0"/>
              <w:divBdr>
                <w:top w:val="none" w:sz="0" w:space="0" w:color="auto"/>
                <w:left w:val="none" w:sz="0" w:space="0" w:color="auto"/>
                <w:bottom w:val="none" w:sz="0" w:space="0" w:color="auto"/>
                <w:right w:val="none" w:sz="0" w:space="0" w:color="auto"/>
              </w:divBdr>
              <w:divsChild>
                <w:div w:id="47160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22908">
      <w:bodyDiv w:val="1"/>
      <w:marLeft w:val="0"/>
      <w:marRight w:val="0"/>
      <w:marTop w:val="0"/>
      <w:marBottom w:val="0"/>
      <w:divBdr>
        <w:top w:val="none" w:sz="0" w:space="0" w:color="auto"/>
        <w:left w:val="none" w:sz="0" w:space="0" w:color="auto"/>
        <w:bottom w:val="none" w:sz="0" w:space="0" w:color="auto"/>
        <w:right w:val="none" w:sz="0" w:space="0" w:color="auto"/>
      </w:divBdr>
    </w:div>
    <w:div w:id="1022589929">
      <w:bodyDiv w:val="1"/>
      <w:marLeft w:val="0"/>
      <w:marRight w:val="0"/>
      <w:marTop w:val="0"/>
      <w:marBottom w:val="0"/>
      <w:divBdr>
        <w:top w:val="none" w:sz="0" w:space="0" w:color="auto"/>
        <w:left w:val="none" w:sz="0" w:space="0" w:color="auto"/>
        <w:bottom w:val="none" w:sz="0" w:space="0" w:color="auto"/>
        <w:right w:val="none" w:sz="0" w:space="0" w:color="auto"/>
      </w:divBdr>
      <w:divsChild>
        <w:div w:id="1507479342">
          <w:marLeft w:val="706"/>
          <w:marRight w:val="0"/>
          <w:marTop w:val="0"/>
          <w:marBottom w:val="0"/>
          <w:divBdr>
            <w:top w:val="none" w:sz="0" w:space="0" w:color="auto"/>
            <w:left w:val="none" w:sz="0" w:space="0" w:color="auto"/>
            <w:bottom w:val="none" w:sz="0" w:space="0" w:color="auto"/>
            <w:right w:val="none" w:sz="0" w:space="0" w:color="auto"/>
          </w:divBdr>
        </w:div>
        <w:div w:id="942224687">
          <w:marLeft w:val="1296"/>
          <w:marRight w:val="0"/>
          <w:marTop w:val="0"/>
          <w:marBottom w:val="0"/>
          <w:divBdr>
            <w:top w:val="none" w:sz="0" w:space="0" w:color="auto"/>
            <w:left w:val="none" w:sz="0" w:space="0" w:color="auto"/>
            <w:bottom w:val="none" w:sz="0" w:space="0" w:color="auto"/>
            <w:right w:val="none" w:sz="0" w:space="0" w:color="auto"/>
          </w:divBdr>
        </w:div>
        <w:div w:id="1792437496">
          <w:marLeft w:val="1296"/>
          <w:marRight w:val="0"/>
          <w:marTop w:val="0"/>
          <w:marBottom w:val="0"/>
          <w:divBdr>
            <w:top w:val="none" w:sz="0" w:space="0" w:color="auto"/>
            <w:left w:val="none" w:sz="0" w:space="0" w:color="auto"/>
            <w:bottom w:val="none" w:sz="0" w:space="0" w:color="auto"/>
            <w:right w:val="none" w:sz="0" w:space="0" w:color="auto"/>
          </w:divBdr>
        </w:div>
        <w:div w:id="15935985">
          <w:marLeft w:val="1296"/>
          <w:marRight w:val="0"/>
          <w:marTop w:val="0"/>
          <w:marBottom w:val="0"/>
          <w:divBdr>
            <w:top w:val="none" w:sz="0" w:space="0" w:color="auto"/>
            <w:left w:val="none" w:sz="0" w:space="0" w:color="auto"/>
            <w:bottom w:val="none" w:sz="0" w:space="0" w:color="auto"/>
            <w:right w:val="none" w:sz="0" w:space="0" w:color="auto"/>
          </w:divBdr>
        </w:div>
        <w:div w:id="345862190">
          <w:marLeft w:val="1296"/>
          <w:marRight w:val="0"/>
          <w:marTop w:val="0"/>
          <w:marBottom w:val="0"/>
          <w:divBdr>
            <w:top w:val="none" w:sz="0" w:space="0" w:color="auto"/>
            <w:left w:val="none" w:sz="0" w:space="0" w:color="auto"/>
            <w:bottom w:val="none" w:sz="0" w:space="0" w:color="auto"/>
            <w:right w:val="none" w:sz="0" w:space="0" w:color="auto"/>
          </w:divBdr>
        </w:div>
      </w:divsChild>
    </w:div>
    <w:div w:id="1055928760">
      <w:bodyDiv w:val="1"/>
      <w:marLeft w:val="0"/>
      <w:marRight w:val="0"/>
      <w:marTop w:val="0"/>
      <w:marBottom w:val="0"/>
      <w:divBdr>
        <w:top w:val="none" w:sz="0" w:space="0" w:color="auto"/>
        <w:left w:val="none" w:sz="0" w:space="0" w:color="auto"/>
        <w:bottom w:val="none" w:sz="0" w:space="0" w:color="auto"/>
        <w:right w:val="none" w:sz="0" w:space="0" w:color="auto"/>
      </w:divBdr>
      <w:divsChild>
        <w:div w:id="1574194183">
          <w:marLeft w:val="0"/>
          <w:marRight w:val="0"/>
          <w:marTop w:val="0"/>
          <w:marBottom w:val="0"/>
          <w:divBdr>
            <w:top w:val="none" w:sz="0" w:space="0" w:color="auto"/>
            <w:left w:val="none" w:sz="0" w:space="0" w:color="auto"/>
            <w:bottom w:val="none" w:sz="0" w:space="0" w:color="auto"/>
            <w:right w:val="none" w:sz="0" w:space="0" w:color="auto"/>
          </w:divBdr>
          <w:divsChild>
            <w:div w:id="1356225848">
              <w:marLeft w:val="0"/>
              <w:marRight w:val="0"/>
              <w:marTop w:val="0"/>
              <w:marBottom w:val="0"/>
              <w:divBdr>
                <w:top w:val="none" w:sz="0" w:space="0" w:color="auto"/>
                <w:left w:val="none" w:sz="0" w:space="0" w:color="auto"/>
                <w:bottom w:val="none" w:sz="0" w:space="0" w:color="auto"/>
                <w:right w:val="none" w:sz="0" w:space="0" w:color="auto"/>
              </w:divBdr>
              <w:divsChild>
                <w:div w:id="131106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24598">
      <w:bodyDiv w:val="1"/>
      <w:marLeft w:val="0"/>
      <w:marRight w:val="0"/>
      <w:marTop w:val="0"/>
      <w:marBottom w:val="0"/>
      <w:divBdr>
        <w:top w:val="none" w:sz="0" w:space="0" w:color="auto"/>
        <w:left w:val="none" w:sz="0" w:space="0" w:color="auto"/>
        <w:bottom w:val="none" w:sz="0" w:space="0" w:color="auto"/>
        <w:right w:val="none" w:sz="0" w:space="0" w:color="auto"/>
      </w:divBdr>
      <w:divsChild>
        <w:div w:id="1022786327">
          <w:marLeft w:val="0"/>
          <w:marRight w:val="0"/>
          <w:marTop w:val="0"/>
          <w:marBottom w:val="0"/>
          <w:divBdr>
            <w:top w:val="none" w:sz="0" w:space="0" w:color="auto"/>
            <w:left w:val="none" w:sz="0" w:space="0" w:color="auto"/>
            <w:bottom w:val="none" w:sz="0" w:space="0" w:color="auto"/>
            <w:right w:val="none" w:sz="0" w:space="0" w:color="auto"/>
          </w:divBdr>
          <w:divsChild>
            <w:div w:id="725760983">
              <w:marLeft w:val="0"/>
              <w:marRight w:val="0"/>
              <w:marTop w:val="0"/>
              <w:marBottom w:val="0"/>
              <w:divBdr>
                <w:top w:val="none" w:sz="0" w:space="0" w:color="auto"/>
                <w:left w:val="none" w:sz="0" w:space="0" w:color="auto"/>
                <w:bottom w:val="none" w:sz="0" w:space="0" w:color="auto"/>
                <w:right w:val="none" w:sz="0" w:space="0" w:color="auto"/>
              </w:divBdr>
              <w:divsChild>
                <w:div w:id="772090233">
                  <w:marLeft w:val="0"/>
                  <w:marRight w:val="0"/>
                  <w:marTop w:val="0"/>
                  <w:marBottom w:val="0"/>
                  <w:divBdr>
                    <w:top w:val="none" w:sz="0" w:space="0" w:color="auto"/>
                    <w:left w:val="none" w:sz="0" w:space="0" w:color="auto"/>
                    <w:bottom w:val="none" w:sz="0" w:space="0" w:color="auto"/>
                    <w:right w:val="none" w:sz="0" w:space="0" w:color="auto"/>
                  </w:divBdr>
                  <w:divsChild>
                    <w:div w:id="20676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641943">
      <w:bodyDiv w:val="1"/>
      <w:marLeft w:val="0"/>
      <w:marRight w:val="0"/>
      <w:marTop w:val="0"/>
      <w:marBottom w:val="0"/>
      <w:divBdr>
        <w:top w:val="none" w:sz="0" w:space="0" w:color="auto"/>
        <w:left w:val="none" w:sz="0" w:space="0" w:color="auto"/>
        <w:bottom w:val="none" w:sz="0" w:space="0" w:color="auto"/>
        <w:right w:val="none" w:sz="0" w:space="0" w:color="auto"/>
      </w:divBdr>
      <w:divsChild>
        <w:div w:id="1236478540">
          <w:marLeft w:val="0"/>
          <w:marRight w:val="0"/>
          <w:marTop w:val="0"/>
          <w:marBottom w:val="0"/>
          <w:divBdr>
            <w:top w:val="none" w:sz="0" w:space="0" w:color="auto"/>
            <w:left w:val="none" w:sz="0" w:space="0" w:color="auto"/>
            <w:bottom w:val="none" w:sz="0" w:space="0" w:color="auto"/>
            <w:right w:val="none" w:sz="0" w:space="0" w:color="auto"/>
          </w:divBdr>
          <w:divsChild>
            <w:div w:id="1323269925">
              <w:marLeft w:val="0"/>
              <w:marRight w:val="0"/>
              <w:marTop w:val="0"/>
              <w:marBottom w:val="0"/>
              <w:divBdr>
                <w:top w:val="none" w:sz="0" w:space="0" w:color="auto"/>
                <w:left w:val="none" w:sz="0" w:space="0" w:color="auto"/>
                <w:bottom w:val="none" w:sz="0" w:space="0" w:color="auto"/>
                <w:right w:val="none" w:sz="0" w:space="0" w:color="auto"/>
              </w:divBdr>
              <w:divsChild>
                <w:div w:id="25771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59399">
      <w:bodyDiv w:val="1"/>
      <w:marLeft w:val="0"/>
      <w:marRight w:val="0"/>
      <w:marTop w:val="0"/>
      <w:marBottom w:val="0"/>
      <w:divBdr>
        <w:top w:val="none" w:sz="0" w:space="0" w:color="auto"/>
        <w:left w:val="none" w:sz="0" w:space="0" w:color="auto"/>
        <w:bottom w:val="none" w:sz="0" w:space="0" w:color="auto"/>
        <w:right w:val="none" w:sz="0" w:space="0" w:color="auto"/>
      </w:divBdr>
      <w:divsChild>
        <w:div w:id="1063064874">
          <w:marLeft w:val="0"/>
          <w:marRight w:val="0"/>
          <w:marTop w:val="0"/>
          <w:marBottom w:val="0"/>
          <w:divBdr>
            <w:top w:val="none" w:sz="0" w:space="0" w:color="auto"/>
            <w:left w:val="none" w:sz="0" w:space="0" w:color="auto"/>
            <w:bottom w:val="none" w:sz="0" w:space="0" w:color="auto"/>
            <w:right w:val="none" w:sz="0" w:space="0" w:color="auto"/>
          </w:divBdr>
          <w:divsChild>
            <w:div w:id="946156664">
              <w:marLeft w:val="0"/>
              <w:marRight w:val="0"/>
              <w:marTop w:val="0"/>
              <w:marBottom w:val="0"/>
              <w:divBdr>
                <w:top w:val="none" w:sz="0" w:space="0" w:color="auto"/>
                <w:left w:val="none" w:sz="0" w:space="0" w:color="auto"/>
                <w:bottom w:val="none" w:sz="0" w:space="0" w:color="auto"/>
                <w:right w:val="none" w:sz="0" w:space="0" w:color="auto"/>
              </w:divBdr>
              <w:divsChild>
                <w:div w:id="94447987">
                  <w:marLeft w:val="0"/>
                  <w:marRight w:val="0"/>
                  <w:marTop w:val="0"/>
                  <w:marBottom w:val="0"/>
                  <w:divBdr>
                    <w:top w:val="none" w:sz="0" w:space="0" w:color="auto"/>
                    <w:left w:val="none" w:sz="0" w:space="0" w:color="auto"/>
                    <w:bottom w:val="none" w:sz="0" w:space="0" w:color="auto"/>
                    <w:right w:val="none" w:sz="0" w:space="0" w:color="auto"/>
                  </w:divBdr>
                </w:div>
              </w:divsChild>
            </w:div>
            <w:div w:id="1425999847">
              <w:marLeft w:val="0"/>
              <w:marRight w:val="0"/>
              <w:marTop w:val="0"/>
              <w:marBottom w:val="0"/>
              <w:divBdr>
                <w:top w:val="none" w:sz="0" w:space="0" w:color="auto"/>
                <w:left w:val="none" w:sz="0" w:space="0" w:color="auto"/>
                <w:bottom w:val="none" w:sz="0" w:space="0" w:color="auto"/>
                <w:right w:val="none" w:sz="0" w:space="0" w:color="auto"/>
              </w:divBdr>
              <w:divsChild>
                <w:div w:id="1819688298">
                  <w:marLeft w:val="0"/>
                  <w:marRight w:val="0"/>
                  <w:marTop w:val="0"/>
                  <w:marBottom w:val="0"/>
                  <w:divBdr>
                    <w:top w:val="none" w:sz="0" w:space="0" w:color="auto"/>
                    <w:left w:val="none" w:sz="0" w:space="0" w:color="auto"/>
                    <w:bottom w:val="none" w:sz="0" w:space="0" w:color="auto"/>
                    <w:right w:val="none" w:sz="0" w:space="0" w:color="auto"/>
                  </w:divBdr>
                </w:div>
                <w:div w:id="77883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90876">
          <w:marLeft w:val="0"/>
          <w:marRight w:val="0"/>
          <w:marTop w:val="0"/>
          <w:marBottom w:val="0"/>
          <w:divBdr>
            <w:top w:val="none" w:sz="0" w:space="0" w:color="auto"/>
            <w:left w:val="none" w:sz="0" w:space="0" w:color="auto"/>
            <w:bottom w:val="none" w:sz="0" w:space="0" w:color="auto"/>
            <w:right w:val="none" w:sz="0" w:space="0" w:color="auto"/>
          </w:divBdr>
          <w:divsChild>
            <w:div w:id="540555357">
              <w:marLeft w:val="0"/>
              <w:marRight w:val="0"/>
              <w:marTop w:val="0"/>
              <w:marBottom w:val="0"/>
              <w:divBdr>
                <w:top w:val="none" w:sz="0" w:space="0" w:color="auto"/>
                <w:left w:val="none" w:sz="0" w:space="0" w:color="auto"/>
                <w:bottom w:val="none" w:sz="0" w:space="0" w:color="auto"/>
                <w:right w:val="none" w:sz="0" w:space="0" w:color="auto"/>
              </w:divBdr>
              <w:divsChild>
                <w:div w:id="213617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53395">
      <w:bodyDiv w:val="1"/>
      <w:marLeft w:val="0"/>
      <w:marRight w:val="0"/>
      <w:marTop w:val="0"/>
      <w:marBottom w:val="0"/>
      <w:divBdr>
        <w:top w:val="none" w:sz="0" w:space="0" w:color="auto"/>
        <w:left w:val="none" w:sz="0" w:space="0" w:color="auto"/>
        <w:bottom w:val="none" w:sz="0" w:space="0" w:color="auto"/>
        <w:right w:val="none" w:sz="0" w:space="0" w:color="auto"/>
      </w:divBdr>
      <w:divsChild>
        <w:div w:id="405037769">
          <w:marLeft w:val="0"/>
          <w:marRight w:val="0"/>
          <w:marTop w:val="0"/>
          <w:marBottom w:val="0"/>
          <w:divBdr>
            <w:top w:val="none" w:sz="0" w:space="0" w:color="auto"/>
            <w:left w:val="none" w:sz="0" w:space="0" w:color="auto"/>
            <w:bottom w:val="none" w:sz="0" w:space="0" w:color="auto"/>
            <w:right w:val="none" w:sz="0" w:space="0" w:color="auto"/>
          </w:divBdr>
          <w:divsChild>
            <w:div w:id="1158614624">
              <w:marLeft w:val="0"/>
              <w:marRight w:val="0"/>
              <w:marTop w:val="0"/>
              <w:marBottom w:val="0"/>
              <w:divBdr>
                <w:top w:val="none" w:sz="0" w:space="0" w:color="auto"/>
                <w:left w:val="none" w:sz="0" w:space="0" w:color="auto"/>
                <w:bottom w:val="none" w:sz="0" w:space="0" w:color="auto"/>
                <w:right w:val="none" w:sz="0" w:space="0" w:color="auto"/>
              </w:divBdr>
              <w:divsChild>
                <w:div w:id="15598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180627">
      <w:bodyDiv w:val="1"/>
      <w:marLeft w:val="0"/>
      <w:marRight w:val="0"/>
      <w:marTop w:val="0"/>
      <w:marBottom w:val="0"/>
      <w:divBdr>
        <w:top w:val="none" w:sz="0" w:space="0" w:color="auto"/>
        <w:left w:val="none" w:sz="0" w:space="0" w:color="auto"/>
        <w:bottom w:val="none" w:sz="0" w:space="0" w:color="auto"/>
        <w:right w:val="none" w:sz="0" w:space="0" w:color="auto"/>
      </w:divBdr>
      <w:divsChild>
        <w:div w:id="609631266">
          <w:marLeft w:val="0"/>
          <w:marRight w:val="0"/>
          <w:marTop w:val="0"/>
          <w:marBottom w:val="0"/>
          <w:divBdr>
            <w:top w:val="none" w:sz="0" w:space="0" w:color="auto"/>
            <w:left w:val="none" w:sz="0" w:space="0" w:color="auto"/>
            <w:bottom w:val="none" w:sz="0" w:space="0" w:color="auto"/>
            <w:right w:val="none" w:sz="0" w:space="0" w:color="auto"/>
          </w:divBdr>
          <w:divsChild>
            <w:div w:id="1881162267">
              <w:marLeft w:val="0"/>
              <w:marRight w:val="0"/>
              <w:marTop w:val="0"/>
              <w:marBottom w:val="0"/>
              <w:divBdr>
                <w:top w:val="none" w:sz="0" w:space="0" w:color="auto"/>
                <w:left w:val="none" w:sz="0" w:space="0" w:color="auto"/>
                <w:bottom w:val="none" w:sz="0" w:space="0" w:color="auto"/>
                <w:right w:val="none" w:sz="0" w:space="0" w:color="auto"/>
              </w:divBdr>
              <w:divsChild>
                <w:div w:id="16083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802109">
          <w:marLeft w:val="0"/>
          <w:marRight w:val="0"/>
          <w:marTop w:val="0"/>
          <w:marBottom w:val="0"/>
          <w:divBdr>
            <w:top w:val="none" w:sz="0" w:space="0" w:color="auto"/>
            <w:left w:val="none" w:sz="0" w:space="0" w:color="auto"/>
            <w:bottom w:val="none" w:sz="0" w:space="0" w:color="auto"/>
            <w:right w:val="none" w:sz="0" w:space="0" w:color="auto"/>
          </w:divBdr>
          <w:divsChild>
            <w:div w:id="1422874332">
              <w:marLeft w:val="0"/>
              <w:marRight w:val="0"/>
              <w:marTop w:val="0"/>
              <w:marBottom w:val="0"/>
              <w:divBdr>
                <w:top w:val="none" w:sz="0" w:space="0" w:color="auto"/>
                <w:left w:val="none" w:sz="0" w:space="0" w:color="auto"/>
                <w:bottom w:val="none" w:sz="0" w:space="0" w:color="auto"/>
                <w:right w:val="none" w:sz="0" w:space="0" w:color="auto"/>
              </w:divBdr>
              <w:divsChild>
                <w:div w:id="211768495">
                  <w:marLeft w:val="0"/>
                  <w:marRight w:val="0"/>
                  <w:marTop w:val="0"/>
                  <w:marBottom w:val="0"/>
                  <w:divBdr>
                    <w:top w:val="none" w:sz="0" w:space="0" w:color="auto"/>
                    <w:left w:val="none" w:sz="0" w:space="0" w:color="auto"/>
                    <w:bottom w:val="none" w:sz="0" w:space="0" w:color="auto"/>
                    <w:right w:val="none" w:sz="0" w:space="0" w:color="auto"/>
                  </w:divBdr>
                </w:div>
              </w:divsChild>
            </w:div>
            <w:div w:id="1584685253">
              <w:marLeft w:val="0"/>
              <w:marRight w:val="0"/>
              <w:marTop w:val="0"/>
              <w:marBottom w:val="0"/>
              <w:divBdr>
                <w:top w:val="none" w:sz="0" w:space="0" w:color="auto"/>
                <w:left w:val="none" w:sz="0" w:space="0" w:color="auto"/>
                <w:bottom w:val="none" w:sz="0" w:space="0" w:color="auto"/>
                <w:right w:val="none" w:sz="0" w:space="0" w:color="auto"/>
              </w:divBdr>
              <w:divsChild>
                <w:div w:id="12834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595246">
      <w:bodyDiv w:val="1"/>
      <w:marLeft w:val="0"/>
      <w:marRight w:val="0"/>
      <w:marTop w:val="0"/>
      <w:marBottom w:val="0"/>
      <w:divBdr>
        <w:top w:val="none" w:sz="0" w:space="0" w:color="auto"/>
        <w:left w:val="none" w:sz="0" w:space="0" w:color="auto"/>
        <w:bottom w:val="none" w:sz="0" w:space="0" w:color="auto"/>
        <w:right w:val="none" w:sz="0" w:space="0" w:color="auto"/>
      </w:divBdr>
      <w:divsChild>
        <w:div w:id="2027708138">
          <w:marLeft w:val="0"/>
          <w:marRight w:val="0"/>
          <w:marTop w:val="0"/>
          <w:marBottom w:val="0"/>
          <w:divBdr>
            <w:top w:val="none" w:sz="0" w:space="0" w:color="auto"/>
            <w:left w:val="none" w:sz="0" w:space="0" w:color="auto"/>
            <w:bottom w:val="none" w:sz="0" w:space="0" w:color="auto"/>
            <w:right w:val="none" w:sz="0" w:space="0" w:color="auto"/>
          </w:divBdr>
          <w:divsChild>
            <w:div w:id="1589462347">
              <w:marLeft w:val="0"/>
              <w:marRight w:val="0"/>
              <w:marTop w:val="0"/>
              <w:marBottom w:val="0"/>
              <w:divBdr>
                <w:top w:val="none" w:sz="0" w:space="0" w:color="auto"/>
                <w:left w:val="none" w:sz="0" w:space="0" w:color="auto"/>
                <w:bottom w:val="none" w:sz="0" w:space="0" w:color="auto"/>
                <w:right w:val="none" w:sz="0" w:space="0" w:color="auto"/>
              </w:divBdr>
              <w:divsChild>
                <w:div w:id="74403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21376">
      <w:bodyDiv w:val="1"/>
      <w:marLeft w:val="0"/>
      <w:marRight w:val="0"/>
      <w:marTop w:val="0"/>
      <w:marBottom w:val="0"/>
      <w:divBdr>
        <w:top w:val="none" w:sz="0" w:space="0" w:color="auto"/>
        <w:left w:val="none" w:sz="0" w:space="0" w:color="auto"/>
        <w:bottom w:val="none" w:sz="0" w:space="0" w:color="auto"/>
        <w:right w:val="none" w:sz="0" w:space="0" w:color="auto"/>
      </w:divBdr>
      <w:divsChild>
        <w:div w:id="1006439257">
          <w:marLeft w:val="0"/>
          <w:marRight w:val="0"/>
          <w:marTop w:val="0"/>
          <w:marBottom w:val="0"/>
          <w:divBdr>
            <w:top w:val="none" w:sz="0" w:space="0" w:color="auto"/>
            <w:left w:val="none" w:sz="0" w:space="0" w:color="auto"/>
            <w:bottom w:val="none" w:sz="0" w:space="0" w:color="auto"/>
            <w:right w:val="none" w:sz="0" w:space="0" w:color="auto"/>
          </w:divBdr>
          <w:divsChild>
            <w:div w:id="202717937">
              <w:marLeft w:val="0"/>
              <w:marRight w:val="0"/>
              <w:marTop w:val="0"/>
              <w:marBottom w:val="0"/>
              <w:divBdr>
                <w:top w:val="none" w:sz="0" w:space="0" w:color="auto"/>
                <w:left w:val="none" w:sz="0" w:space="0" w:color="auto"/>
                <w:bottom w:val="none" w:sz="0" w:space="0" w:color="auto"/>
                <w:right w:val="none" w:sz="0" w:space="0" w:color="auto"/>
              </w:divBdr>
              <w:divsChild>
                <w:div w:id="41721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716141">
      <w:bodyDiv w:val="1"/>
      <w:marLeft w:val="0"/>
      <w:marRight w:val="0"/>
      <w:marTop w:val="0"/>
      <w:marBottom w:val="0"/>
      <w:divBdr>
        <w:top w:val="none" w:sz="0" w:space="0" w:color="auto"/>
        <w:left w:val="none" w:sz="0" w:space="0" w:color="auto"/>
        <w:bottom w:val="none" w:sz="0" w:space="0" w:color="auto"/>
        <w:right w:val="none" w:sz="0" w:space="0" w:color="auto"/>
      </w:divBdr>
      <w:divsChild>
        <w:div w:id="403142106">
          <w:marLeft w:val="0"/>
          <w:marRight w:val="0"/>
          <w:marTop w:val="0"/>
          <w:marBottom w:val="0"/>
          <w:divBdr>
            <w:top w:val="none" w:sz="0" w:space="0" w:color="auto"/>
            <w:left w:val="none" w:sz="0" w:space="0" w:color="auto"/>
            <w:bottom w:val="none" w:sz="0" w:space="0" w:color="auto"/>
            <w:right w:val="none" w:sz="0" w:space="0" w:color="auto"/>
          </w:divBdr>
          <w:divsChild>
            <w:div w:id="1977830219">
              <w:marLeft w:val="0"/>
              <w:marRight w:val="0"/>
              <w:marTop w:val="0"/>
              <w:marBottom w:val="0"/>
              <w:divBdr>
                <w:top w:val="none" w:sz="0" w:space="0" w:color="auto"/>
                <w:left w:val="none" w:sz="0" w:space="0" w:color="auto"/>
                <w:bottom w:val="none" w:sz="0" w:space="0" w:color="auto"/>
                <w:right w:val="none" w:sz="0" w:space="0" w:color="auto"/>
              </w:divBdr>
              <w:divsChild>
                <w:div w:id="1135099131">
                  <w:marLeft w:val="0"/>
                  <w:marRight w:val="0"/>
                  <w:marTop w:val="0"/>
                  <w:marBottom w:val="0"/>
                  <w:divBdr>
                    <w:top w:val="none" w:sz="0" w:space="0" w:color="auto"/>
                    <w:left w:val="none" w:sz="0" w:space="0" w:color="auto"/>
                    <w:bottom w:val="none" w:sz="0" w:space="0" w:color="auto"/>
                    <w:right w:val="none" w:sz="0" w:space="0" w:color="auto"/>
                  </w:divBdr>
                  <w:divsChild>
                    <w:div w:id="213497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765107">
      <w:bodyDiv w:val="1"/>
      <w:marLeft w:val="0"/>
      <w:marRight w:val="0"/>
      <w:marTop w:val="0"/>
      <w:marBottom w:val="0"/>
      <w:divBdr>
        <w:top w:val="none" w:sz="0" w:space="0" w:color="auto"/>
        <w:left w:val="none" w:sz="0" w:space="0" w:color="auto"/>
        <w:bottom w:val="none" w:sz="0" w:space="0" w:color="auto"/>
        <w:right w:val="none" w:sz="0" w:space="0" w:color="auto"/>
      </w:divBdr>
      <w:divsChild>
        <w:div w:id="1469323014">
          <w:marLeft w:val="0"/>
          <w:marRight w:val="0"/>
          <w:marTop w:val="0"/>
          <w:marBottom w:val="0"/>
          <w:divBdr>
            <w:top w:val="none" w:sz="0" w:space="0" w:color="auto"/>
            <w:left w:val="none" w:sz="0" w:space="0" w:color="auto"/>
            <w:bottom w:val="none" w:sz="0" w:space="0" w:color="auto"/>
            <w:right w:val="none" w:sz="0" w:space="0" w:color="auto"/>
          </w:divBdr>
          <w:divsChild>
            <w:div w:id="2064478969">
              <w:marLeft w:val="0"/>
              <w:marRight w:val="0"/>
              <w:marTop w:val="0"/>
              <w:marBottom w:val="0"/>
              <w:divBdr>
                <w:top w:val="none" w:sz="0" w:space="0" w:color="auto"/>
                <w:left w:val="none" w:sz="0" w:space="0" w:color="auto"/>
                <w:bottom w:val="none" w:sz="0" w:space="0" w:color="auto"/>
                <w:right w:val="none" w:sz="0" w:space="0" w:color="auto"/>
              </w:divBdr>
              <w:divsChild>
                <w:div w:id="110769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995239">
      <w:bodyDiv w:val="1"/>
      <w:marLeft w:val="0"/>
      <w:marRight w:val="0"/>
      <w:marTop w:val="0"/>
      <w:marBottom w:val="0"/>
      <w:divBdr>
        <w:top w:val="none" w:sz="0" w:space="0" w:color="auto"/>
        <w:left w:val="none" w:sz="0" w:space="0" w:color="auto"/>
        <w:bottom w:val="none" w:sz="0" w:space="0" w:color="auto"/>
        <w:right w:val="none" w:sz="0" w:space="0" w:color="auto"/>
      </w:divBdr>
      <w:divsChild>
        <w:div w:id="416827419">
          <w:marLeft w:val="0"/>
          <w:marRight w:val="0"/>
          <w:marTop w:val="0"/>
          <w:marBottom w:val="0"/>
          <w:divBdr>
            <w:top w:val="none" w:sz="0" w:space="0" w:color="auto"/>
            <w:left w:val="none" w:sz="0" w:space="0" w:color="auto"/>
            <w:bottom w:val="none" w:sz="0" w:space="0" w:color="auto"/>
            <w:right w:val="none" w:sz="0" w:space="0" w:color="auto"/>
          </w:divBdr>
          <w:divsChild>
            <w:div w:id="415833331">
              <w:marLeft w:val="0"/>
              <w:marRight w:val="0"/>
              <w:marTop w:val="0"/>
              <w:marBottom w:val="0"/>
              <w:divBdr>
                <w:top w:val="none" w:sz="0" w:space="0" w:color="auto"/>
                <w:left w:val="none" w:sz="0" w:space="0" w:color="auto"/>
                <w:bottom w:val="none" w:sz="0" w:space="0" w:color="auto"/>
                <w:right w:val="none" w:sz="0" w:space="0" w:color="auto"/>
              </w:divBdr>
              <w:divsChild>
                <w:div w:id="3882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728641">
      <w:bodyDiv w:val="1"/>
      <w:marLeft w:val="0"/>
      <w:marRight w:val="0"/>
      <w:marTop w:val="0"/>
      <w:marBottom w:val="0"/>
      <w:divBdr>
        <w:top w:val="none" w:sz="0" w:space="0" w:color="auto"/>
        <w:left w:val="none" w:sz="0" w:space="0" w:color="auto"/>
        <w:bottom w:val="none" w:sz="0" w:space="0" w:color="auto"/>
        <w:right w:val="none" w:sz="0" w:space="0" w:color="auto"/>
      </w:divBdr>
      <w:divsChild>
        <w:div w:id="880092792">
          <w:marLeft w:val="0"/>
          <w:marRight w:val="0"/>
          <w:marTop w:val="0"/>
          <w:marBottom w:val="0"/>
          <w:divBdr>
            <w:top w:val="none" w:sz="0" w:space="0" w:color="auto"/>
            <w:left w:val="none" w:sz="0" w:space="0" w:color="auto"/>
            <w:bottom w:val="none" w:sz="0" w:space="0" w:color="auto"/>
            <w:right w:val="none" w:sz="0" w:space="0" w:color="auto"/>
          </w:divBdr>
          <w:divsChild>
            <w:div w:id="24333015">
              <w:marLeft w:val="0"/>
              <w:marRight w:val="0"/>
              <w:marTop w:val="0"/>
              <w:marBottom w:val="0"/>
              <w:divBdr>
                <w:top w:val="none" w:sz="0" w:space="0" w:color="auto"/>
                <w:left w:val="none" w:sz="0" w:space="0" w:color="auto"/>
                <w:bottom w:val="none" w:sz="0" w:space="0" w:color="auto"/>
                <w:right w:val="none" w:sz="0" w:space="0" w:color="auto"/>
              </w:divBdr>
              <w:divsChild>
                <w:div w:id="86536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963651">
      <w:bodyDiv w:val="1"/>
      <w:marLeft w:val="0"/>
      <w:marRight w:val="0"/>
      <w:marTop w:val="0"/>
      <w:marBottom w:val="0"/>
      <w:divBdr>
        <w:top w:val="none" w:sz="0" w:space="0" w:color="auto"/>
        <w:left w:val="none" w:sz="0" w:space="0" w:color="auto"/>
        <w:bottom w:val="none" w:sz="0" w:space="0" w:color="auto"/>
        <w:right w:val="none" w:sz="0" w:space="0" w:color="auto"/>
      </w:divBdr>
      <w:divsChild>
        <w:div w:id="1634825790">
          <w:marLeft w:val="0"/>
          <w:marRight w:val="0"/>
          <w:marTop w:val="0"/>
          <w:marBottom w:val="0"/>
          <w:divBdr>
            <w:top w:val="none" w:sz="0" w:space="0" w:color="auto"/>
            <w:left w:val="none" w:sz="0" w:space="0" w:color="auto"/>
            <w:bottom w:val="none" w:sz="0" w:space="0" w:color="auto"/>
            <w:right w:val="none" w:sz="0" w:space="0" w:color="auto"/>
          </w:divBdr>
          <w:divsChild>
            <w:div w:id="525951806">
              <w:marLeft w:val="0"/>
              <w:marRight w:val="0"/>
              <w:marTop w:val="0"/>
              <w:marBottom w:val="0"/>
              <w:divBdr>
                <w:top w:val="none" w:sz="0" w:space="0" w:color="auto"/>
                <w:left w:val="none" w:sz="0" w:space="0" w:color="auto"/>
                <w:bottom w:val="none" w:sz="0" w:space="0" w:color="auto"/>
                <w:right w:val="none" w:sz="0" w:space="0" w:color="auto"/>
              </w:divBdr>
              <w:divsChild>
                <w:div w:id="159011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117311">
      <w:bodyDiv w:val="1"/>
      <w:marLeft w:val="0"/>
      <w:marRight w:val="0"/>
      <w:marTop w:val="0"/>
      <w:marBottom w:val="0"/>
      <w:divBdr>
        <w:top w:val="none" w:sz="0" w:space="0" w:color="auto"/>
        <w:left w:val="none" w:sz="0" w:space="0" w:color="auto"/>
        <w:bottom w:val="none" w:sz="0" w:space="0" w:color="auto"/>
        <w:right w:val="none" w:sz="0" w:space="0" w:color="auto"/>
      </w:divBdr>
      <w:divsChild>
        <w:div w:id="1061101239">
          <w:marLeft w:val="0"/>
          <w:marRight w:val="0"/>
          <w:marTop w:val="0"/>
          <w:marBottom w:val="0"/>
          <w:divBdr>
            <w:top w:val="none" w:sz="0" w:space="0" w:color="auto"/>
            <w:left w:val="none" w:sz="0" w:space="0" w:color="auto"/>
            <w:bottom w:val="none" w:sz="0" w:space="0" w:color="auto"/>
            <w:right w:val="none" w:sz="0" w:space="0" w:color="auto"/>
          </w:divBdr>
          <w:divsChild>
            <w:div w:id="1492596908">
              <w:marLeft w:val="0"/>
              <w:marRight w:val="0"/>
              <w:marTop w:val="0"/>
              <w:marBottom w:val="0"/>
              <w:divBdr>
                <w:top w:val="none" w:sz="0" w:space="0" w:color="auto"/>
                <w:left w:val="none" w:sz="0" w:space="0" w:color="auto"/>
                <w:bottom w:val="none" w:sz="0" w:space="0" w:color="auto"/>
                <w:right w:val="none" w:sz="0" w:space="0" w:color="auto"/>
              </w:divBdr>
              <w:divsChild>
                <w:div w:id="1218321759">
                  <w:marLeft w:val="0"/>
                  <w:marRight w:val="0"/>
                  <w:marTop w:val="0"/>
                  <w:marBottom w:val="0"/>
                  <w:divBdr>
                    <w:top w:val="none" w:sz="0" w:space="0" w:color="auto"/>
                    <w:left w:val="none" w:sz="0" w:space="0" w:color="auto"/>
                    <w:bottom w:val="none" w:sz="0" w:space="0" w:color="auto"/>
                    <w:right w:val="none" w:sz="0" w:space="0" w:color="auto"/>
                  </w:divBdr>
                  <w:divsChild>
                    <w:div w:id="182708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2191">
      <w:bodyDiv w:val="1"/>
      <w:marLeft w:val="0"/>
      <w:marRight w:val="0"/>
      <w:marTop w:val="0"/>
      <w:marBottom w:val="0"/>
      <w:divBdr>
        <w:top w:val="none" w:sz="0" w:space="0" w:color="auto"/>
        <w:left w:val="none" w:sz="0" w:space="0" w:color="auto"/>
        <w:bottom w:val="none" w:sz="0" w:space="0" w:color="auto"/>
        <w:right w:val="none" w:sz="0" w:space="0" w:color="auto"/>
      </w:divBdr>
      <w:divsChild>
        <w:div w:id="1228033319">
          <w:marLeft w:val="0"/>
          <w:marRight w:val="0"/>
          <w:marTop w:val="0"/>
          <w:marBottom w:val="0"/>
          <w:divBdr>
            <w:top w:val="none" w:sz="0" w:space="0" w:color="auto"/>
            <w:left w:val="none" w:sz="0" w:space="0" w:color="auto"/>
            <w:bottom w:val="none" w:sz="0" w:space="0" w:color="auto"/>
            <w:right w:val="none" w:sz="0" w:space="0" w:color="auto"/>
          </w:divBdr>
          <w:divsChild>
            <w:div w:id="904292448">
              <w:marLeft w:val="0"/>
              <w:marRight w:val="0"/>
              <w:marTop w:val="0"/>
              <w:marBottom w:val="0"/>
              <w:divBdr>
                <w:top w:val="none" w:sz="0" w:space="0" w:color="auto"/>
                <w:left w:val="none" w:sz="0" w:space="0" w:color="auto"/>
                <w:bottom w:val="none" w:sz="0" w:space="0" w:color="auto"/>
                <w:right w:val="none" w:sz="0" w:space="0" w:color="auto"/>
              </w:divBdr>
              <w:divsChild>
                <w:div w:id="142726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18542">
      <w:bodyDiv w:val="1"/>
      <w:marLeft w:val="0"/>
      <w:marRight w:val="0"/>
      <w:marTop w:val="0"/>
      <w:marBottom w:val="0"/>
      <w:divBdr>
        <w:top w:val="none" w:sz="0" w:space="0" w:color="auto"/>
        <w:left w:val="none" w:sz="0" w:space="0" w:color="auto"/>
        <w:bottom w:val="none" w:sz="0" w:space="0" w:color="auto"/>
        <w:right w:val="none" w:sz="0" w:space="0" w:color="auto"/>
      </w:divBdr>
      <w:divsChild>
        <w:div w:id="1681815259">
          <w:marLeft w:val="0"/>
          <w:marRight w:val="0"/>
          <w:marTop w:val="0"/>
          <w:marBottom w:val="0"/>
          <w:divBdr>
            <w:top w:val="none" w:sz="0" w:space="0" w:color="auto"/>
            <w:left w:val="none" w:sz="0" w:space="0" w:color="auto"/>
            <w:bottom w:val="none" w:sz="0" w:space="0" w:color="auto"/>
            <w:right w:val="none" w:sz="0" w:space="0" w:color="auto"/>
          </w:divBdr>
          <w:divsChild>
            <w:div w:id="4290227">
              <w:marLeft w:val="0"/>
              <w:marRight w:val="0"/>
              <w:marTop w:val="0"/>
              <w:marBottom w:val="0"/>
              <w:divBdr>
                <w:top w:val="none" w:sz="0" w:space="0" w:color="auto"/>
                <w:left w:val="none" w:sz="0" w:space="0" w:color="auto"/>
                <w:bottom w:val="none" w:sz="0" w:space="0" w:color="auto"/>
                <w:right w:val="none" w:sz="0" w:space="0" w:color="auto"/>
              </w:divBdr>
              <w:divsChild>
                <w:div w:id="140518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058010">
      <w:bodyDiv w:val="1"/>
      <w:marLeft w:val="0"/>
      <w:marRight w:val="0"/>
      <w:marTop w:val="0"/>
      <w:marBottom w:val="0"/>
      <w:divBdr>
        <w:top w:val="none" w:sz="0" w:space="0" w:color="auto"/>
        <w:left w:val="none" w:sz="0" w:space="0" w:color="auto"/>
        <w:bottom w:val="none" w:sz="0" w:space="0" w:color="auto"/>
        <w:right w:val="none" w:sz="0" w:space="0" w:color="auto"/>
      </w:divBdr>
      <w:divsChild>
        <w:div w:id="1931353690">
          <w:marLeft w:val="0"/>
          <w:marRight w:val="0"/>
          <w:marTop w:val="0"/>
          <w:marBottom w:val="0"/>
          <w:divBdr>
            <w:top w:val="none" w:sz="0" w:space="0" w:color="auto"/>
            <w:left w:val="none" w:sz="0" w:space="0" w:color="auto"/>
            <w:bottom w:val="none" w:sz="0" w:space="0" w:color="auto"/>
            <w:right w:val="none" w:sz="0" w:space="0" w:color="auto"/>
          </w:divBdr>
          <w:divsChild>
            <w:div w:id="1359819669">
              <w:marLeft w:val="0"/>
              <w:marRight w:val="0"/>
              <w:marTop w:val="0"/>
              <w:marBottom w:val="0"/>
              <w:divBdr>
                <w:top w:val="none" w:sz="0" w:space="0" w:color="auto"/>
                <w:left w:val="none" w:sz="0" w:space="0" w:color="auto"/>
                <w:bottom w:val="none" w:sz="0" w:space="0" w:color="auto"/>
                <w:right w:val="none" w:sz="0" w:space="0" w:color="auto"/>
              </w:divBdr>
              <w:divsChild>
                <w:div w:id="20063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288853">
      <w:bodyDiv w:val="1"/>
      <w:marLeft w:val="0"/>
      <w:marRight w:val="0"/>
      <w:marTop w:val="0"/>
      <w:marBottom w:val="0"/>
      <w:divBdr>
        <w:top w:val="none" w:sz="0" w:space="0" w:color="auto"/>
        <w:left w:val="none" w:sz="0" w:space="0" w:color="auto"/>
        <w:bottom w:val="none" w:sz="0" w:space="0" w:color="auto"/>
        <w:right w:val="none" w:sz="0" w:space="0" w:color="auto"/>
      </w:divBdr>
      <w:divsChild>
        <w:div w:id="938290549">
          <w:marLeft w:val="0"/>
          <w:marRight w:val="0"/>
          <w:marTop w:val="0"/>
          <w:marBottom w:val="0"/>
          <w:divBdr>
            <w:top w:val="none" w:sz="0" w:space="0" w:color="auto"/>
            <w:left w:val="none" w:sz="0" w:space="0" w:color="auto"/>
            <w:bottom w:val="none" w:sz="0" w:space="0" w:color="auto"/>
            <w:right w:val="none" w:sz="0" w:space="0" w:color="auto"/>
          </w:divBdr>
          <w:divsChild>
            <w:div w:id="233779185">
              <w:marLeft w:val="0"/>
              <w:marRight w:val="0"/>
              <w:marTop w:val="0"/>
              <w:marBottom w:val="0"/>
              <w:divBdr>
                <w:top w:val="none" w:sz="0" w:space="0" w:color="auto"/>
                <w:left w:val="none" w:sz="0" w:space="0" w:color="auto"/>
                <w:bottom w:val="none" w:sz="0" w:space="0" w:color="auto"/>
                <w:right w:val="none" w:sz="0" w:space="0" w:color="auto"/>
              </w:divBdr>
              <w:divsChild>
                <w:div w:id="1226261225">
                  <w:marLeft w:val="0"/>
                  <w:marRight w:val="0"/>
                  <w:marTop w:val="0"/>
                  <w:marBottom w:val="0"/>
                  <w:divBdr>
                    <w:top w:val="none" w:sz="0" w:space="0" w:color="auto"/>
                    <w:left w:val="none" w:sz="0" w:space="0" w:color="auto"/>
                    <w:bottom w:val="none" w:sz="0" w:space="0" w:color="auto"/>
                    <w:right w:val="none" w:sz="0" w:space="0" w:color="auto"/>
                  </w:divBdr>
                  <w:divsChild>
                    <w:div w:id="30758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78872">
      <w:bodyDiv w:val="1"/>
      <w:marLeft w:val="0"/>
      <w:marRight w:val="0"/>
      <w:marTop w:val="0"/>
      <w:marBottom w:val="0"/>
      <w:divBdr>
        <w:top w:val="none" w:sz="0" w:space="0" w:color="auto"/>
        <w:left w:val="none" w:sz="0" w:space="0" w:color="auto"/>
        <w:bottom w:val="none" w:sz="0" w:space="0" w:color="auto"/>
        <w:right w:val="none" w:sz="0" w:space="0" w:color="auto"/>
      </w:divBdr>
      <w:divsChild>
        <w:div w:id="1156722978">
          <w:marLeft w:val="0"/>
          <w:marRight w:val="0"/>
          <w:marTop w:val="0"/>
          <w:marBottom w:val="0"/>
          <w:divBdr>
            <w:top w:val="none" w:sz="0" w:space="0" w:color="auto"/>
            <w:left w:val="none" w:sz="0" w:space="0" w:color="auto"/>
            <w:bottom w:val="none" w:sz="0" w:space="0" w:color="auto"/>
            <w:right w:val="none" w:sz="0" w:space="0" w:color="auto"/>
          </w:divBdr>
          <w:divsChild>
            <w:div w:id="1667244016">
              <w:marLeft w:val="0"/>
              <w:marRight w:val="0"/>
              <w:marTop w:val="0"/>
              <w:marBottom w:val="0"/>
              <w:divBdr>
                <w:top w:val="none" w:sz="0" w:space="0" w:color="auto"/>
                <w:left w:val="none" w:sz="0" w:space="0" w:color="auto"/>
                <w:bottom w:val="none" w:sz="0" w:space="0" w:color="auto"/>
                <w:right w:val="none" w:sz="0" w:space="0" w:color="auto"/>
              </w:divBdr>
              <w:divsChild>
                <w:div w:id="41085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072734">
      <w:bodyDiv w:val="1"/>
      <w:marLeft w:val="0"/>
      <w:marRight w:val="0"/>
      <w:marTop w:val="0"/>
      <w:marBottom w:val="0"/>
      <w:divBdr>
        <w:top w:val="none" w:sz="0" w:space="0" w:color="auto"/>
        <w:left w:val="none" w:sz="0" w:space="0" w:color="auto"/>
        <w:bottom w:val="none" w:sz="0" w:space="0" w:color="auto"/>
        <w:right w:val="none" w:sz="0" w:space="0" w:color="auto"/>
      </w:divBdr>
      <w:divsChild>
        <w:div w:id="45376342">
          <w:marLeft w:val="0"/>
          <w:marRight w:val="0"/>
          <w:marTop w:val="0"/>
          <w:marBottom w:val="0"/>
          <w:divBdr>
            <w:top w:val="none" w:sz="0" w:space="0" w:color="auto"/>
            <w:left w:val="none" w:sz="0" w:space="0" w:color="auto"/>
            <w:bottom w:val="none" w:sz="0" w:space="0" w:color="auto"/>
            <w:right w:val="none" w:sz="0" w:space="0" w:color="auto"/>
          </w:divBdr>
          <w:divsChild>
            <w:div w:id="2079396365">
              <w:marLeft w:val="0"/>
              <w:marRight w:val="0"/>
              <w:marTop w:val="0"/>
              <w:marBottom w:val="0"/>
              <w:divBdr>
                <w:top w:val="none" w:sz="0" w:space="0" w:color="auto"/>
                <w:left w:val="none" w:sz="0" w:space="0" w:color="auto"/>
                <w:bottom w:val="none" w:sz="0" w:space="0" w:color="auto"/>
                <w:right w:val="none" w:sz="0" w:space="0" w:color="auto"/>
              </w:divBdr>
              <w:divsChild>
                <w:div w:id="1604336958">
                  <w:marLeft w:val="0"/>
                  <w:marRight w:val="0"/>
                  <w:marTop w:val="0"/>
                  <w:marBottom w:val="0"/>
                  <w:divBdr>
                    <w:top w:val="none" w:sz="0" w:space="0" w:color="auto"/>
                    <w:left w:val="none" w:sz="0" w:space="0" w:color="auto"/>
                    <w:bottom w:val="none" w:sz="0" w:space="0" w:color="auto"/>
                    <w:right w:val="none" w:sz="0" w:space="0" w:color="auto"/>
                  </w:divBdr>
                  <w:divsChild>
                    <w:div w:id="64253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701709">
      <w:bodyDiv w:val="1"/>
      <w:marLeft w:val="0"/>
      <w:marRight w:val="0"/>
      <w:marTop w:val="0"/>
      <w:marBottom w:val="0"/>
      <w:divBdr>
        <w:top w:val="none" w:sz="0" w:space="0" w:color="auto"/>
        <w:left w:val="none" w:sz="0" w:space="0" w:color="auto"/>
        <w:bottom w:val="none" w:sz="0" w:space="0" w:color="auto"/>
        <w:right w:val="none" w:sz="0" w:space="0" w:color="auto"/>
      </w:divBdr>
      <w:divsChild>
        <w:div w:id="1007559809">
          <w:marLeft w:val="0"/>
          <w:marRight w:val="0"/>
          <w:marTop w:val="0"/>
          <w:marBottom w:val="0"/>
          <w:divBdr>
            <w:top w:val="none" w:sz="0" w:space="0" w:color="auto"/>
            <w:left w:val="none" w:sz="0" w:space="0" w:color="auto"/>
            <w:bottom w:val="none" w:sz="0" w:space="0" w:color="auto"/>
            <w:right w:val="none" w:sz="0" w:space="0" w:color="auto"/>
          </w:divBdr>
          <w:divsChild>
            <w:div w:id="452679798">
              <w:marLeft w:val="0"/>
              <w:marRight w:val="0"/>
              <w:marTop w:val="0"/>
              <w:marBottom w:val="0"/>
              <w:divBdr>
                <w:top w:val="none" w:sz="0" w:space="0" w:color="auto"/>
                <w:left w:val="none" w:sz="0" w:space="0" w:color="auto"/>
                <w:bottom w:val="none" w:sz="0" w:space="0" w:color="auto"/>
                <w:right w:val="none" w:sz="0" w:space="0" w:color="auto"/>
              </w:divBdr>
              <w:divsChild>
                <w:div w:id="45124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c.europa.eu/research/innovation-union/pdf/iu-scoreboard-2010_en.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4304</Words>
  <Characters>23678</Characters>
  <Application>Microsoft Office Word</Application>
  <DocSecurity>0</DocSecurity>
  <Lines>197</Lines>
  <Paragraphs>55</Paragraphs>
  <ScaleCrop>false</ScaleCrop>
  <Company>krcekjiri@gmail.com</Company>
  <LinksUpToDate>false</LinksUpToDate>
  <CharactersWithSpaces>27927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San Juan</dc:creator>
  <cp:lastModifiedBy>Carlos San Juan</cp:lastModifiedBy>
  <cp:revision>2</cp:revision>
  <dcterms:created xsi:type="dcterms:W3CDTF">2013-03-15T16:38:00Z</dcterms:created>
  <dcterms:modified xsi:type="dcterms:W3CDTF">2013-03-15T16:38:00Z</dcterms:modified>
</cp:coreProperties>
</file>