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3F" w:rsidRDefault="008F1964" w:rsidP="0059483F">
      <w:pPr>
        <w:pStyle w:val="Ttulo1"/>
        <w:rPr>
          <w:lang w:val="es-ES"/>
        </w:rPr>
      </w:pPr>
      <w:proofErr w:type="spellStart"/>
      <w:r>
        <w:rPr>
          <w:lang w:val="es-ES"/>
        </w:rPr>
        <w:t>FAQs</w:t>
      </w:r>
      <w:proofErr w:type="spellEnd"/>
      <w:r>
        <w:rPr>
          <w:lang w:val="es-ES"/>
        </w:rPr>
        <w:t xml:space="preserve"> preguntas frecuentes sobre la organización de la asignatura Economía de la Integración Europea</w:t>
      </w:r>
    </w:p>
    <w:p w:rsidR="0059483F" w:rsidRDefault="0059483F" w:rsidP="0059483F">
      <w:pPr>
        <w:rPr>
          <w:b/>
          <w:lang w:val="es-ES"/>
        </w:rPr>
      </w:pPr>
    </w:p>
    <w:p w:rsidR="0048021B" w:rsidRDefault="0048021B" w:rsidP="0059483F">
      <w:pPr>
        <w:rPr>
          <w:b/>
          <w:lang w:val="es-ES"/>
        </w:rPr>
      </w:pPr>
      <w:r>
        <w:rPr>
          <w:b/>
          <w:lang w:val="es-ES"/>
        </w:rPr>
        <w:t xml:space="preserve">¿Qué debo llevar a los </w:t>
      </w:r>
      <w:proofErr w:type="spellStart"/>
      <w:r>
        <w:rPr>
          <w:b/>
          <w:lang w:val="es-ES"/>
        </w:rPr>
        <w:t>exámens</w:t>
      </w:r>
      <w:proofErr w:type="spellEnd"/>
      <w:r>
        <w:rPr>
          <w:b/>
          <w:lang w:val="es-ES"/>
        </w:rPr>
        <w:t>?</w:t>
      </w:r>
    </w:p>
    <w:p w:rsidR="0048021B" w:rsidRPr="0048021B" w:rsidRDefault="0048021B" w:rsidP="0048021B">
      <w:pPr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val="es-ES" w:eastAsia="en-GB"/>
        </w:rPr>
      </w:pPr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Tienen que llevar al examen su PC o Tablet para responder el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quizz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 de elección múltiple en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Socrative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.</w:t>
      </w:r>
    </w:p>
    <w:p w:rsidR="0048021B" w:rsidRPr="0048021B" w:rsidRDefault="0048021B" w:rsidP="0048021B">
      <w:pPr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val="es-ES" w:eastAsia="en-GB"/>
        </w:rPr>
      </w:pPr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Para resolver los ejercicios sólo pueden usar la calculadora de Windows o  Apple. Además deben entregar una hoja de examen firmada con las soluciones de los ejercicios,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a</w:t>
      </w:r>
      <w:bookmarkStart w:id="0" w:name="_GoBack"/>
      <w:bookmarkEnd w:id="0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ún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 cuando respondan las soluciones en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Socrative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. Esta hoja podrá usarse para comprobar los conocimientos del alumno en caso de duda, si es necesario mediante un examen oral cuando el profesor lo estime necesario.</w:t>
      </w:r>
    </w:p>
    <w:p w:rsidR="0048021B" w:rsidRPr="0048021B" w:rsidRDefault="0048021B" w:rsidP="0048021B">
      <w:pPr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en-GB"/>
        </w:rPr>
      </w:pPr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En el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quiz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 cada pregunta puede tener una o varias respuestas correctas,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>Socrative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val="es-ES" w:eastAsia="en-GB"/>
        </w:rPr>
        <w:t xml:space="preserve"> no puntúa negativamente las respuestas erróneas. </w:t>
      </w:r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Para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conocer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la nota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debe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darle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finalizar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y </w:t>
      </w:r>
      <w:proofErr w:type="spellStart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salvar</w:t>
      </w:r>
      <w:proofErr w:type="spellEnd"/>
      <w:r w:rsidRPr="0048021B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.</w:t>
      </w:r>
    </w:p>
    <w:p w:rsidR="0048021B" w:rsidRDefault="0048021B" w:rsidP="0059483F">
      <w:pPr>
        <w:rPr>
          <w:b/>
          <w:lang w:val="es-ES"/>
        </w:rPr>
      </w:pPr>
    </w:p>
    <w:p w:rsidR="0059483F" w:rsidRPr="0059483F" w:rsidRDefault="0059483F" w:rsidP="0059483F">
      <w:pPr>
        <w:rPr>
          <w:b/>
          <w:lang w:val="es-ES"/>
        </w:rPr>
      </w:pPr>
      <w:r w:rsidRPr="0059483F">
        <w:rPr>
          <w:b/>
          <w:lang w:val="es-ES"/>
        </w:rPr>
        <w:t>¿Por qué imprimir dinero es similar a medidas extraordinarias?</w:t>
      </w:r>
    </w:p>
    <w:p w:rsidR="0059483F" w:rsidRPr="0059483F" w:rsidRDefault="0059483F" w:rsidP="00431C93">
      <w:proofErr w:type="spellStart"/>
      <w:r w:rsidRPr="0059483F">
        <w:t>Vea</w:t>
      </w:r>
      <w:proofErr w:type="spellEnd"/>
      <w:r w:rsidRPr="0059483F">
        <w:t xml:space="preserve"> </w:t>
      </w:r>
      <w:proofErr w:type="spellStart"/>
      <w:r w:rsidRPr="0059483F">
        <w:t>este</w:t>
      </w:r>
      <w:proofErr w:type="spellEnd"/>
      <w:r w:rsidRPr="0059483F">
        <w:t xml:space="preserve"> video: Why Printing Trillions of Dollars May Not Cause Inflation</w:t>
      </w:r>
    </w:p>
    <w:p w:rsidR="00431C93" w:rsidRPr="007B0C47" w:rsidRDefault="0059483F" w:rsidP="00431C93">
      <w:r w:rsidRPr="007B0C47">
        <w:t>https://www.youtube.com/watch?v=3-dvi1f_2vA</w:t>
      </w:r>
    </w:p>
    <w:p w:rsidR="00431C93" w:rsidRPr="00431C93" w:rsidRDefault="00431C93" w:rsidP="00431C93">
      <w:pPr>
        <w:rPr>
          <w:b/>
          <w:lang w:val="es-ES"/>
        </w:rPr>
      </w:pPr>
      <w:r w:rsidRPr="00431C93">
        <w:rPr>
          <w:b/>
          <w:lang w:val="es-ES"/>
        </w:rPr>
        <w:t xml:space="preserve">¿Puede subir las soluciones del </w:t>
      </w:r>
      <w:proofErr w:type="spellStart"/>
      <w:r w:rsidRPr="00431C93">
        <w:rPr>
          <w:b/>
          <w:lang w:val="es-ES"/>
        </w:rPr>
        <w:t>quizz</w:t>
      </w:r>
      <w:proofErr w:type="spellEnd"/>
      <w:r w:rsidRPr="00431C93">
        <w:rPr>
          <w:b/>
          <w:lang w:val="es-ES"/>
        </w:rPr>
        <w:t xml:space="preserve">? </w:t>
      </w:r>
    </w:p>
    <w:p w:rsidR="00431C93" w:rsidRPr="00431C93" w:rsidRDefault="00431C93" w:rsidP="00431C93">
      <w:pPr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>No, debe estudiar el material del curso, si tiene alguna pregunta concreta sobre la solución de una pregunta puede enviar un correo con su duda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 su profesor del grupo reducido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. 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>E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 el asunto debe poner 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>Q#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?  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>En el asunto del correo</w:t>
      </w:r>
    </w:p>
    <w:p w:rsidR="00431C93" w:rsidRPr="00431C93" w:rsidRDefault="00431C93" w:rsidP="00431C93">
      <w:pPr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>Hay un ejemplo de examen en la web.</w:t>
      </w: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Siguiendo las pautas de la universidad, les comunico que debo estar en cuarentena o aislamiento preventivo, dado que mi madre ha dado positivo (en covid19) en la prueba PCR que se realizó este fin de semana tras haber estado unos días con síntomas.</w:t>
      </w: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Les explico la situación más detalladamente en la “declaración responsable de estar en cuarentena o aislamiento por causa COVID” que les adjunto junto a este correo.</w:t>
      </w: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Como he leído en el documento que nos mandó la universidad: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 “</w:t>
      </w: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5. ¿Puedo seguir todas las clases presenciales en modalidad online si me encuentro en situación de aislamiento preventivo?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No. Sólo podrás seguir las clases online previstas en tu horario y las que se impartan simultáneamente de forma online y presencial.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Podrás acceder a los materiales de Aula Global.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 xml:space="preserve">Tendrás derecho a realizar en otra fecha las pruebas presenciales de evaluación </w:t>
      </w:r>
      <w:proofErr w:type="spellStart"/>
      <w:r w:rsidR="00AC330F"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continúa</w:t>
      </w:r>
      <w:proofErr w:type="spellEnd"/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 xml:space="preserve"> realizadas durante el periodo de aislamiento.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Podrás solicitar las sesiones de tutoría previstas con carácter general en formato online</w:t>
      </w: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.”</w:t>
      </w:r>
    </w:p>
    <w:p w:rsidR="00CD1CE5" w:rsidRPr="00CD1CE5" w:rsidRDefault="00CD1CE5" w:rsidP="00CD1CE5">
      <w:pPr>
        <w:rPr>
          <w:b/>
          <w:lang w:val="es-ES"/>
        </w:rPr>
      </w:pPr>
    </w:p>
    <w:p w:rsidR="00CD1CE5" w:rsidRPr="00CD1CE5" w:rsidRDefault="000B6D01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lastRenderedPageBreak/>
        <w:t>Só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lo tiene que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comunicárselo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al profesor de su reducido, si tiene el reducido presencial debe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pedirle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que le envíe un enlace para el reducido online si quiere seguir las clases.</w:t>
      </w:r>
    </w:p>
    <w:p w:rsidR="00CD1CE5" w:rsidRPr="00CD1CE5" w:rsidRDefault="00AC330F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Igualmente,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hubiera algún examen presencial </w:t>
      </w:r>
      <w:r w:rsidR="000B6D01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pídale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al profesor del grupo reducido que le mande un enlace para hacerlo online en la misma hora y día del </w:t>
      </w:r>
      <w:r w:rsidR="000B6D01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grupo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presencial.</w:t>
      </w:r>
    </w:p>
    <w:p w:rsidR="00CD1CE5" w:rsidRPr="00CD1CE5" w:rsidRDefault="00CD1CE5" w:rsidP="00CD1CE5">
      <w:pPr>
        <w:rPr>
          <w:lang w:val="es-ES"/>
        </w:rPr>
      </w:pPr>
    </w:p>
    <w:p w:rsidR="00CB4342" w:rsidRDefault="00CB4342" w:rsidP="00CB4342">
      <w:pPr>
        <w:rPr>
          <w:lang w:val="es-ES"/>
        </w:rPr>
      </w:pPr>
    </w:p>
    <w:p w:rsidR="00CB4342" w:rsidRPr="00CB4342" w:rsidRDefault="00CB4342" w:rsidP="00CB4342">
      <w:pPr>
        <w:rPr>
          <w:lang w:val="es-ES"/>
        </w:rPr>
      </w:pPr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Comparando con las clases he visto que hay más documentos que los </w:t>
      </w:r>
      <w:proofErr w:type="spellStart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>power</w:t>
      </w:r>
      <w:proofErr w:type="spellEnd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</w:t>
      </w:r>
      <w:proofErr w:type="spellStart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>point</w:t>
      </w:r>
      <w:proofErr w:type="spellEnd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que se dan en clase. Mi duda es si esos documentos también son material de examen y deben ser tenidos en cuenta</w:t>
      </w:r>
      <w:r w:rsidRPr="00CB4342">
        <w:rPr>
          <w:rFonts w:ascii="Arial" w:hAnsi="Arial" w:cs="Arial"/>
          <w:color w:val="222222"/>
          <w:shd w:val="clear" w:color="auto" w:fill="FFFFFF"/>
          <w:lang w:val="es-ES"/>
        </w:rPr>
        <w:t>. </w:t>
      </w:r>
    </w:p>
    <w:p w:rsidR="00CB4342" w:rsidRP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Cuando existe un link en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las trasparecías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a una lectura o un documento o presentación en las transparencias de clase significa que es lectura obligatoria y por tanto entra en los quizzes y exámenes.</w:t>
      </w:r>
    </w:p>
    <w:p w:rsidR="00CB4342" w:rsidRP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Normalmente trato de especificar las lecturas complementarias online en cada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lección,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pero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en alguna no está claro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dígamelo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para especificarlo en la web.</w:t>
      </w:r>
    </w:p>
    <w:p w:rsidR="00CB4342" w:rsidRPr="00CB4342" w:rsidRDefault="00CB4342" w:rsidP="00CB4342">
      <w:pPr>
        <w:rPr>
          <w:lang w:val="es-ES"/>
        </w:rPr>
      </w:pPr>
    </w:p>
    <w:p w:rsidR="00100A64" w:rsidRPr="001258D2" w:rsidRDefault="00100A64" w:rsidP="00100A64">
      <w:pPr>
        <w:rPr>
          <w:b/>
          <w:lang w:val="es-ES"/>
        </w:rPr>
      </w:pP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Una pregunta. En las clases magistrales hemos dado las transparencias que figuran en la página web de baobab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</w:t>
      </w: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pero, en </w:t>
      </w:r>
      <w:r w:rsidR="000B6D01"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>algunas,</w:t>
      </w: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por ejemplo, de 90 hemos visto 60. 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No significa eso, y las transparencias sólo son un esquema de mis clases. Las comparto para ayudarles a mejorar sus apuntes. De </w:t>
      </w:r>
      <w:r w:rsidR="000B6D01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hecho,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lo recomendable es que tomen apuntes sobre las transparencias impresas.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Pero recuerde en los 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>parciales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y en el examen final la materia exigible son las lecturas obligatorias (</w:t>
      </w:r>
      <w:r w:rsidR="00AC330F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capítulos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de los libros de texto seleccionados y las lecturas que tienen un link en las transparencias).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El objetivo de las clases es explicar los puntos que puedan ser más difíciles de comprender y actualizar las lecturas ya que la UE está evolucionando continuamente y, en los últimos años, debido sobre todo a la necesidad de afrontar las crisis económicas, de forma </w:t>
      </w:r>
      <w:r w:rsidR="00AC330F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acelerada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>En el caso que menciona las últimas transparencias eran fundamentalmente datos estadísticos que no tiene que memorizar, pero si encuentra algún contenido que no entiende no dude en preguntarlo en la clase o por correo.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Para preguntas ponga siempre en el asunto del correo </w:t>
      </w:r>
      <w:r w:rsidRPr="00100A64">
        <w:rPr>
          <w:rFonts w:ascii="Tahoma" w:eastAsia="Times New Roman" w:hAnsi="Tahoma" w:cs="Tahoma"/>
          <w:b/>
          <w:sz w:val="24"/>
          <w:szCs w:val="24"/>
          <w:lang w:val="es-ES" w:eastAsia="en-GB"/>
        </w:rPr>
        <w:t>EIE?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(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or </w:t>
      </w:r>
      <w:r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EEI</w:t>
      </w:r>
      <w:r w:rsidR="00AC330F"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?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 if you are in the bilingual course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)</w:t>
      </w:r>
      <w:r w:rsidR="00AC330F" w:rsidRPr="00AC330F">
        <w:rPr>
          <w:rFonts w:ascii="Tahoma" w:eastAsia="Times New Roman" w:hAnsi="Tahoma" w:cs="Tahoma"/>
          <w:sz w:val="24"/>
          <w:szCs w:val="24"/>
          <w:lang w:eastAsia="en-GB"/>
        </w:rPr>
        <w:t>.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De esa forma su profesor puede saber a 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qué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curso pertenece. Su nombre aparece en el correo, no es necesario que lo repi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t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>a, salvo en su firma.</w:t>
      </w:r>
    </w:p>
    <w:p w:rsidR="00100A64" w:rsidRPr="00100A64" w:rsidRDefault="00100A64" w:rsidP="00100A64">
      <w:pPr>
        <w:rPr>
          <w:lang w:val="es-ES"/>
        </w:rPr>
      </w:pPr>
    </w:p>
    <w:p w:rsidR="008B427A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>
        <w:rPr>
          <w:b/>
          <w:lang w:val="es-ES"/>
        </w:rPr>
        <w:t>¿Las lecturas entran en la evaluación continua y los exámenes?</w:t>
      </w:r>
    </w:p>
    <w:p w:rsidR="00FB6562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lang w:val="es-ES"/>
        </w:rPr>
      </w:pPr>
      <w:r>
        <w:rPr>
          <w:lang w:val="es-ES"/>
        </w:rPr>
        <w:t>Si, hay lecturas que son capítulos de libros de texto (</w:t>
      </w:r>
      <w:r w:rsidR="00AC330F">
        <w:rPr>
          <w:lang w:val="es-ES"/>
        </w:rPr>
        <w:t xml:space="preserve">de las que </w:t>
      </w:r>
      <w:r>
        <w:rPr>
          <w:lang w:val="es-ES"/>
        </w:rPr>
        <w:t xml:space="preserve">pueden adquirir fotocopias en reprografía) y otras que aparecen con un enlace en las transparencias del curso </w:t>
      </w:r>
      <w:r w:rsidR="00AC330F">
        <w:rPr>
          <w:lang w:val="es-ES"/>
        </w:rPr>
        <w:t xml:space="preserve">en </w:t>
      </w:r>
      <w:r w:rsidR="00AC330F" w:rsidRPr="00AC330F">
        <w:rPr>
          <w:b/>
          <w:i/>
          <w:lang w:val="es-ES"/>
        </w:rPr>
        <w:t>baobab.uc3m.es</w:t>
      </w:r>
      <w:r w:rsidR="00AC330F">
        <w:rPr>
          <w:lang w:val="es-ES"/>
        </w:rPr>
        <w:t xml:space="preserve"> </w:t>
      </w:r>
      <w:r>
        <w:rPr>
          <w:lang w:val="es-ES"/>
        </w:rPr>
        <w:t>sobre temas de actualidad</w:t>
      </w:r>
      <w:r w:rsidR="008F1964">
        <w:rPr>
          <w:lang w:val="es-ES"/>
        </w:rPr>
        <w:t xml:space="preserve"> son obligatorias</w:t>
      </w:r>
      <w:r>
        <w:rPr>
          <w:lang w:val="es-ES"/>
        </w:rPr>
        <w:t>.</w:t>
      </w:r>
      <w:r w:rsidR="008F1964">
        <w:rPr>
          <w:lang w:val="es-ES"/>
        </w:rPr>
        <w:t xml:space="preserve"> En alguna </w:t>
      </w:r>
      <w:r w:rsidR="004D1971">
        <w:rPr>
          <w:lang w:val="es-ES"/>
        </w:rPr>
        <w:t>lección</w:t>
      </w:r>
      <w:r w:rsidR="008F1964">
        <w:rPr>
          <w:lang w:val="es-ES"/>
        </w:rPr>
        <w:t xml:space="preserve"> puede aparecer un enlace en las transparencias pero se indica que la lectura es complementaria, en ese caso no es obligatoria.</w:t>
      </w:r>
    </w:p>
    <w:p w:rsidR="008F1964" w:rsidRPr="008F1964" w:rsidRDefault="008F1964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 w:rsidRPr="008F1964">
        <w:rPr>
          <w:b/>
          <w:lang w:val="es-ES"/>
        </w:rPr>
        <w:lastRenderedPageBreak/>
        <w:t>¿Son obligatorias las lecturas complementarias?</w:t>
      </w:r>
    </w:p>
    <w:p w:rsidR="00FB6562" w:rsidRPr="00FB6562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lang w:val="es-ES"/>
        </w:rPr>
      </w:pPr>
      <w:r>
        <w:rPr>
          <w:lang w:val="es-ES"/>
        </w:rPr>
        <w:t xml:space="preserve">No son obligatorias las lecturas complementarias que aparecen en la web en </w:t>
      </w:r>
      <w:r w:rsidRPr="00AC330F">
        <w:rPr>
          <w:b/>
          <w:i/>
          <w:lang w:val="es-ES"/>
        </w:rPr>
        <w:t>baobab.uc3m.es</w:t>
      </w:r>
      <w:r>
        <w:rPr>
          <w:lang w:val="es-ES"/>
        </w:rPr>
        <w:t xml:space="preserve"> pero le pueden servir de orientación para </w:t>
      </w:r>
      <w:r w:rsidR="008F1964">
        <w:rPr>
          <w:lang w:val="es-ES"/>
        </w:rPr>
        <w:t>hacer su trabajo y saber más sobre ciertos temas relevantes.</w:t>
      </w: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¿El trabajo </w:t>
      </w:r>
      <w:r w:rsidR="007B0C47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consiste en resumir el texto </w:t>
      </w: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es de temática libre? </w:t>
      </w:r>
    </w:p>
    <w:p w:rsidR="00335B8E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La </w:t>
      </w:r>
      <w:r w:rsidR="000F2593">
        <w:rPr>
          <w:rFonts w:ascii="Arial" w:eastAsia="Times New Roman" w:hAnsi="Arial" w:cs="Arial"/>
          <w:sz w:val="19"/>
          <w:szCs w:val="19"/>
          <w:lang w:val="es-ES" w:eastAsia="en-GB"/>
        </w:rPr>
        <w:t xml:space="preserve">tarea </w:t>
      </w:r>
      <w:r w:rsidR="000F2593" w:rsidRPr="008B427A">
        <w:rPr>
          <w:rFonts w:ascii="Arial" w:eastAsia="Times New Roman" w:hAnsi="Arial" w:cs="Arial"/>
          <w:sz w:val="19"/>
          <w:szCs w:val="19"/>
          <w:lang w:val="es-ES" w:eastAsia="en-GB"/>
        </w:rPr>
        <w:t>consiste</w:t>
      </w:r>
      <w:r w:rsidR="007B0C47"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resumir el texto indicado por su profesor del grupo reducido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>. Se trata de que sean conscientes de que una cosa es resumir un artículo o trabajo y otra usarlo en su trabajo</w:t>
      </w:r>
      <w:r w:rsidR="00335B8E">
        <w:rPr>
          <w:rFonts w:ascii="Arial" w:eastAsia="Times New Roman" w:hAnsi="Arial" w:cs="Arial"/>
          <w:sz w:val="19"/>
          <w:szCs w:val="19"/>
          <w:lang w:val="es-ES" w:eastAsia="en-GB"/>
        </w:rPr>
        <w:t>.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¿Hay que entregarlo impreso en papel o se lo enviamos </w:t>
      </w:r>
      <w:r w:rsidR="00335B8E" w:rsidRPr="00335B8E">
        <w:rPr>
          <w:rFonts w:ascii="Arial" w:eastAsia="Times New Roman" w:hAnsi="Arial" w:cs="Arial"/>
          <w:b/>
          <w:sz w:val="19"/>
          <w:szCs w:val="19"/>
          <w:lang w:val="es-ES" w:eastAsia="en-GB"/>
        </w:rPr>
        <w:t>vía</w:t>
      </w: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 mail o aula global?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335B8E" w:rsidRPr="008B427A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su grupo reducido en la carpeta abierta a tal propósito y con la fecha límite que aparece en la carpeta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¿Este resumen es individual pero luego hay que hacer un tema en grupo?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335B8E" w:rsidRPr="008B427A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individualmente</w:t>
      </w:r>
    </w:p>
    <w:p w:rsidR="008B427A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lang w:val="es-ES"/>
        </w:rPr>
      </w:pPr>
    </w:p>
    <w:p w:rsidR="008B427A" w:rsidRPr="00335B8E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b/>
          <w:lang w:val="es-ES"/>
        </w:rPr>
      </w:pPr>
      <w:r w:rsidRPr="00335B8E">
        <w:rPr>
          <w:b/>
          <w:lang w:val="es-ES"/>
        </w:rPr>
        <w:t>¿Como pondera cada actividad en la nota de evaluación continua?</w:t>
      </w:r>
    </w:p>
    <w:p w:rsidR="008B427A" w:rsidRPr="008B427A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lang w:val="es-ES"/>
        </w:rPr>
      </w:pPr>
      <w:r>
        <w:rPr>
          <w:lang w:val="es-ES"/>
        </w:rPr>
        <w:t>Usamos una hoja de calculo que tiene los datos del estudiante en las primeras columnas, en el resto se pondera la nota final de la siguiente forma: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Una </w:t>
      </w:r>
      <w:r w:rsidR="00C52ADE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puntuación por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subir el problema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resuelto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en 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Aula Global 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AG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)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CON 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LOS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RESULTADOS CORRECTOS ponderan 0,02 (columnas F,</w:t>
      </w:r>
      <w:r w:rsidR="00316D7B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G,</w:t>
      </w:r>
      <w:r w:rsidR="00316D7B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H)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Una puntuación mayor si salen a la pizarra y lo resuelven bien (en </w:t>
      </w:r>
      <w:proofErr w:type="spellStart"/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bbcu</w:t>
      </w:r>
      <w:proofErr w:type="spellEnd"/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como escribir en la pizarra es complicado si no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tienen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 una tableta puede buscar un sistema alternativo como pon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er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en pantalla su problema y expli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car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como lo han </w:t>
      </w:r>
      <w:r w:rsidR="008B427A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hecho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columnas E). Aquí también puede sumar puntos por la participación activa en las clases, hasta un máximo de 0,5 puntos.</w:t>
      </w:r>
    </w:p>
    <w:p w:rsidR="00292365" w:rsidRPr="00292365" w:rsidRDefault="00956D47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Quizzes (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columnas I,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J,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K) ponderan 0,21 aunque </w:t>
      </w:r>
      <w:proofErr w:type="spellStart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Socrative</w:t>
      </w:r>
      <w:proofErr w:type="spellEnd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da la nota sobre </w:t>
      </w:r>
      <w:r w:rsidR="00316D7B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100 (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rango 0 a 100) pero nosotros en el </w:t>
      </w:r>
      <w:proofErr w:type="spellStart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Excell</w:t>
      </w:r>
      <w:proofErr w:type="spellEnd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aparecen ya convertidas sobre 10 (rango 0 a 10).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Trabajo de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curso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 L) pondera 0,12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Examen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final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Columna M) pondera 0,4 </w:t>
      </w:r>
    </w:p>
    <w:p w:rsidR="00292365" w:rsidRP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Cualquier 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otra </w:t>
      </w:r>
      <w:r w:rsidR="0069768F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pregunta </w:t>
      </w:r>
      <w:r w:rsid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sobre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calificaciones mire este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enlace:</w:t>
      </w:r>
    </w:p>
    <w:p w:rsidR="00316D7B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GRADING / Criterios de</w:t>
      </w:r>
      <w:r w:rsidR="00316D7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valuación: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hyperlink r:id="rId7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https://baobab.uc3m.es/monet/monnet/spip.php?article361</w:t>
        </w:r>
      </w:hyperlink>
    </w:p>
    <w:p w:rsidR="005974E4" w:rsidRPr="00292365" w:rsidRDefault="005974E4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Donde también hay un apartado de preguntas frecuentes que podemos ampliar si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surgen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nuevas dudas.</w:t>
      </w:r>
    </w:p>
    <w:p w:rsidR="0069768F" w:rsidRP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6D7B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IMPORTANTE: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 un alumno sigue la evaluación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continua,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pero tiene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cualquier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tipo de emergencia que le impide presentarse a un quiz o entregar una tarea puede presentarse al </w:t>
      </w:r>
      <w:r w:rsidRPr="008A738C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examen final para subir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avisándole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por correo previamente a su 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profesor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el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grupo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reducido. También pued</w:t>
      </w:r>
      <w:r w:rsidR="007B0C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hacerlo si simplemente quiere </w:t>
      </w:r>
      <w:r w:rsidRPr="008B427A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subir su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optar a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matrícula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de honor o por cualquier otro motivo.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Los alumnos enfermos o aislados NO DEBEN CAMBIARSE DE GRUPO pueden asistir a las clases online si voluntariamente su profesor del grupo reducido les envía el enlace en </w:t>
      </w:r>
      <w:proofErr w:type="spellStart"/>
      <w:r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b</w:t>
      </w:r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lackboard</w:t>
      </w:r>
      <w:proofErr w:type="spellEnd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 xml:space="preserve"> </w:t>
      </w:r>
      <w:proofErr w:type="spellStart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collaborat</w:t>
      </w:r>
      <w:r w:rsid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e</w:t>
      </w:r>
      <w:proofErr w:type="spellEnd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 xml:space="preserve"> ultra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 Deben usar el material disponible en la web</w:t>
      </w:r>
      <w:r w:rsidR="008A738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8A738C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preparar sus evaluaciones.</w:t>
      </w:r>
    </w:p>
    <w:p w:rsidR="000B6D01" w:rsidRDefault="000B6D0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0B6D0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¿Es necesario sacar alguna nota mínima tanto en el parcial como en el final para que se puedan sumar los conceptos de evaluación continua?</w:t>
      </w:r>
    </w:p>
    <w:p w:rsidR="000B6D01" w:rsidRP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0B6D0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 se requiere ninguna nota mínima para calcular la nota media final, pero debe tener más de 5 puntos de nota final para aprobar la asignatura.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Pr="004D1971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4D197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¿Qué puedo hacer si no puedo asistir a un examen presencial por estar en cuarentena o enfermo?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Puede hacer el examen online desde su casa siempre que disponga su cámara y micrófono abierto durante el </w:t>
      </w:r>
      <w:r w:rsidR="004D19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examen. En estos casos los profesores podrán llamarle también para un examen oral.</w:t>
      </w:r>
    </w:p>
    <w:p w:rsidR="004D1971" w:rsidRPr="00292365" w:rsidRDefault="004D197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Debe avisar antes a su profesor del grupo reducido si su grupo reducido es presencial.</w:t>
      </w: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8B427A" w:rsidRDefault="008B427A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¿Sobre qué temas puedo hacer el trabajo de curso?</w:t>
      </w:r>
    </w:p>
    <w:p w:rsidR="0069768F" w:rsidRP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Los t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emas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recomendados para 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el trabajo de curso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son uno de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los temas para los que ya tienen lecturas complementarias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una cuestión relacionada con ellos más específica (recomendado)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:rsidR="0069768F" w:rsidRDefault="00C813D6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hyperlink r:id="rId8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https://baobab.uc3m.es/monet/monnet/spip.php?rubrique23</w:t>
        </w:r>
      </w:hyperlink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 olvide que debe pinchar al fondo de la página en:</w:t>
      </w:r>
    </w:p>
    <w:p w:rsidR="00316D7B" w:rsidRP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Pr="00316D7B">
        <w:rPr>
          <w:rStyle w:val="on"/>
          <w:rFonts w:ascii="Trebuchet MS" w:hAnsi="Trebuchet MS"/>
          <w:b/>
          <w:bCs/>
          <w:color w:val="000000"/>
          <w:shd w:val="clear" w:color="auto" w:fill="FFFFFF"/>
          <w:lang w:val="es-ES"/>
        </w:rPr>
        <w:t>0</w:t>
      </w:r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9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10</w:t>
        </w:r>
      </w:hyperlink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10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20</w:t>
        </w:r>
      </w:hyperlink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11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30</w:t>
        </w:r>
      </w:hyperlink>
      <w:r w:rsidRPr="00316D7B">
        <w:rPr>
          <w:lang w:val="es-ES"/>
        </w:rPr>
        <w:t xml:space="preserve"> </w:t>
      </w:r>
    </w:p>
    <w:p w:rsidR="005974E4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Para ver las 10 siguientes páginas, las 20 siguientes, etc.</w:t>
      </w:r>
    </w:p>
    <w:p w:rsid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69768F" w:rsidRP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Igualmente puede usar las lecturas recomendadas en inglés: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Complementary readings to help writing the course essay are also downloadable from </w:t>
      </w:r>
      <w:proofErr w:type="spellStart"/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>thous</w:t>
      </w:r>
      <w:proofErr w:type="spellEnd"/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 link by topic: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monetary and fiscal policy in the European Union readings: </w:t>
      </w:r>
      <w:hyperlink r:id="rId12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https://baobab.uc3m.es/monet/monnet/spip.php?rubrique108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Brexit or BINO (Brexit In Name Only)</w:t>
      </w:r>
      <w:proofErr w:type="gramStart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?:</w:t>
      </w:r>
      <w:proofErr w:type="gramEnd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 </w:t>
      </w:r>
      <w:hyperlink r:id="rId13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https://baobab.uc3m.es/monet/monnet/spip.php?rubrique116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CAP reform and the multiannual financial framework 2014-20 and 2020-26: </w:t>
      </w:r>
      <w:hyperlink r:id="rId14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deepening the European Monetary Union. Banking Union: </w:t>
      </w:r>
      <w:hyperlink r:id="rId15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https://baobab.uc3m.es/monet/monnet/spip.php?rubrique121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environmental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policy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in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the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EU / Política Ambiental Europea: </w:t>
      </w:r>
      <w:hyperlink r:id="rId16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val="es-ES" w:eastAsia="en-GB"/>
          </w:rPr>
          <w:t>https://baobab.uc3m.es/monet/monnet/spip.php?rubrique74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euro-Area Debt Crisis: Debate readings: </w:t>
      </w:r>
      <w:hyperlink r:id="rId17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https://baobab.uc3m.es/monet/monnet/spip.php?rubrique55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food price stability and food security: </w:t>
      </w:r>
      <w:hyperlink r:id="rId18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https://baobab.uc3m.es/monet/monnet/spip.php?rubrique99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lastRenderedPageBreak/>
        <w:t xml:space="preserve">Lisbon Strategy and the infrastructures and R &amp; D +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i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 xml:space="preserve"> policy: </w:t>
      </w:r>
      <w:hyperlink r:id="rId19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More verbal information during the reduce classes will insist on this information.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Pueden usar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indistintamente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también las lecturas del grupo en español en: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https://baobab.uc3m.es/monet/monnet/spip.php?rubrique23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Es importante que recordar que los números al fondo de la página hay que pinchar en ellos para ir a las 10 siguientes entras, las 20 siguientes, etc.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val="es-ES" w:eastAsia="en-GB"/>
        </w:rPr>
        <w:t>Pero podemos admitir excepciones,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especialmente para que los que deseen continuar su trabajo de curso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ampliándolo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 para convertirlo en un TFG. En todo caso el profesor del grupo reducido debe recibir un proyecto consistente al menos en el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título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, índice provisional y referencias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leídas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o pendientes de leer.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Pero no se admiten trabajos de historia de 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la 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integración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europea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que es otra asignatura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(El proceso de integración europea)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.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Turritin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detecta la doble presentación de trabajos y se considera plagio (se califica con cero), véase:</w:t>
      </w:r>
    </w:p>
    <w:p w:rsidR="00292365" w:rsidRPr="00316D7B" w:rsidRDefault="00C813D6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0" w:history="1"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Ethic Code of the University. This document summarizes different aspects related with the exams and students grading process.</w:t>
        </w:r>
      </w:hyperlink>
    </w:p>
    <w:p w:rsidR="00316D7B" w:rsidRPr="00292365" w:rsidRDefault="00316D7B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1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https://baobab.uc3m.es/monet/monnet/spip.php?article581</w:t>
        </w:r>
      </w:hyperlink>
    </w:p>
    <w:p w:rsidR="00316D7B" w:rsidRPr="00292365" w:rsidRDefault="00316D7B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292365" w:rsidRPr="00316D7B" w:rsidRDefault="00C813D6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2" w:history="1"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Guia</w:t>
        </w:r>
        <w:proofErr w:type="spellEnd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 xml:space="preserve"> de </w:t>
        </w:r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buenas</w:t>
        </w:r>
        <w:proofErr w:type="spellEnd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 xml:space="preserve"> </w:t>
        </w:r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prácticas</w:t>
        </w:r>
        <w:proofErr w:type="spellEnd"/>
      </w:hyperlink>
    </w:p>
    <w:p w:rsidR="00316D7B" w:rsidRPr="00292365" w:rsidRDefault="00316D7B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3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https://baobab.uc3m.es/monet/monnet/spip.php?article580</w:t>
        </w:r>
      </w:hyperlink>
    </w:p>
    <w:p w:rsidR="00316D7B" w:rsidRPr="00292365" w:rsidRDefault="00316D7B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E40F14" w:rsidRDefault="00C813D6"/>
    <w:sectPr w:rsidR="00E40F14" w:rsidSect="0031295A">
      <w:footerReference w:type="defaul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3D6" w:rsidRDefault="00C813D6" w:rsidP="008A738C">
      <w:pPr>
        <w:spacing w:after="0" w:line="240" w:lineRule="auto"/>
      </w:pPr>
      <w:r>
        <w:separator/>
      </w:r>
    </w:p>
  </w:endnote>
  <w:endnote w:type="continuationSeparator" w:id="0">
    <w:p w:rsidR="00C813D6" w:rsidRDefault="00C813D6" w:rsidP="008A7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8739749"/>
      <w:docPartObj>
        <w:docPartGallery w:val="Page Numbers (Bottom of Page)"/>
        <w:docPartUnique/>
      </w:docPartObj>
    </w:sdtPr>
    <w:sdtEndPr/>
    <w:sdtContent>
      <w:p w:rsidR="008A738C" w:rsidRDefault="008A738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21B" w:rsidRPr="0048021B">
          <w:rPr>
            <w:noProof/>
            <w:lang w:val="es-ES"/>
          </w:rPr>
          <w:t>1</w:t>
        </w:r>
        <w:r>
          <w:fldChar w:fldCharType="end"/>
        </w:r>
      </w:p>
    </w:sdtContent>
  </w:sdt>
  <w:p w:rsidR="008A738C" w:rsidRDefault="008A73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3D6" w:rsidRDefault="00C813D6" w:rsidP="008A738C">
      <w:pPr>
        <w:spacing w:after="0" w:line="240" w:lineRule="auto"/>
      </w:pPr>
      <w:r>
        <w:separator/>
      </w:r>
    </w:p>
  </w:footnote>
  <w:footnote w:type="continuationSeparator" w:id="0">
    <w:p w:rsidR="00C813D6" w:rsidRDefault="00C813D6" w:rsidP="008A7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E5FBF"/>
    <w:multiLevelType w:val="multilevel"/>
    <w:tmpl w:val="BA74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91CE1"/>
    <w:multiLevelType w:val="multilevel"/>
    <w:tmpl w:val="1506E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zMjCyNDU2NzA3tTBU0lEKTi0uzszPAymwqAUAVbu6EiwAAAA="/>
  </w:docVars>
  <w:rsids>
    <w:rsidRoot w:val="00292365"/>
    <w:rsid w:val="000B6D01"/>
    <w:rsid w:val="000F2593"/>
    <w:rsid w:val="00100A64"/>
    <w:rsid w:val="001258D2"/>
    <w:rsid w:val="00154607"/>
    <w:rsid w:val="00154BF9"/>
    <w:rsid w:val="00292365"/>
    <w:rsid w:val="0031295A"/>
    <w:rsid w:val="00316D7B"/>
    <w:rsid w:val="00335B8E"/>
    <w:rsid w:val="003B3351"/>
    <w:rsid w:val="00431C93"/>
    <w:rsid w:val="0048021B"/>
    <w:rsid w:val="004D1971"/>
    <w:rsid w:val="0059483F"/>
    <w:rsid w:val="005974E4"/>
    <w:rsid w:val="0069768F"/>
    <w:rsid w:val="007250A2"/>
    <w:rsid w:val="007A39AB"/>
    <w:rsid w:val="007A56FE"/>
    <w:rsid w:val="007B0C47"/>
    <w:rsid w:val="007B7A81"/>
    <w:rsid w:val="008A738C"/>
    <w:rsid w:val="008B427A"/>
    <w:rsid w:val="008F1964"/>
    <w:rsid w:val="00956D47"/>
    <w:rsid w:val="00A416B2"/>
    <w:rsid w:val="00A56DC4"/>
    <w:rsid w:val="00AC330F"/>
    <w:rsid w:val="00B07621"/>
    <w:rsid w:val="00BF2AA4"/>
    <w:rsid w:val="00C52ADE"/>
    <w:rsid w:val="00C7481E"/>
    <w:rsid w:val="00C813D6"/>
    <w:rsid w:val="00CB4342"/>
    <w:rsid w:val="00CD1CE5"/>
    <w:rsid w:val="00D02B06"/>
    <w:rsid w:val="00D64FAE"/>
    <w:rsid w:val="00E965BD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58424-9839-4B24-888E-1E6A3E6A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1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2923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9236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ipervnculo">
    <w:name w:val="Hyperlink"/>
    <w:basedOn w:val="Fuentedeprrafopredeter"/>
    <w:uiPriority w:val="99"/>
    <w:unhideWhenUsed/>
    <w:rsid w:val="00292365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F19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974E4"/>
    <w:rPr>
      <w:color w:val="605E5C"/>
      <w:shd w:val="clear" w:color="auto" w:fill="E1DFDD"/>
    </w:rPr>
  </w:style>
  <w:style w:type="character" w:customStyle="1" w:styleId="on">
    <w:name w:val="on"/>
    <w:basedOn w:val="Fuentedeprrafopredeter"/>
    <w:rsid w:val="00316D7B"/>
  </w:style>
  <w:style w:type="paragraph" w:styleId="Encabezado">
    <w:name w:val="header"/>
    <w:basedOn w:val="Normal"/>
    <w:link w:val="Encabezado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738C"/>
  </w:style>
  <w:style w:type="paragraph" w:styleId="Piedepgina">
    <w:name w:val="footer"/>
    <w:basedOn w:val="Normal"/>
    <w:link w:val="Piedepgina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obab.uc3m.es/monet/monnet/spip.php?rubrique23" TargetMode="External"/><Relationship Id="rId13" Type="http://schemas.openxmlformats.org/officeDocument/2006/relationships/hyperlink" Target="https://baobab.uc3m.es/monet/monnet/spip.php?rubrique116" TargetMode="External"/><Relationship Id="rId18" Type="http://schemas.openxmlformats.org/officeDocument/2006/relationships/hyperlink" Target="https://baobab.uc3m.es/monet/monnet/spip.php?rubrique9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aobab.uc3m.es/monet/monnet/spip.php?article581" TargetMode="External"/><Relationship Id="rId7" Type="http://schemas.openxmlformats.org/officeDocument/2006/relationships/hyperlink" Target="https://baobab.uc3m.es/monet/monnet/spip.php?article361" TargetMode="External"/><Relationship Id="rId12" Type="http://schemas.openxmlformats.org/officeDocument/2006/relationships/hyperlink" Target="https://baobab.uc3m.es/monet/monnet/spip.php?rubrique108" TargetMode="External"/><Relationship Id="rId17" Type="http://schemas.openxmlformats.org/officeDocument/2006/relationships/hyperlink" Target="https://baobab.uc3m.es/monet/monnet/spip.php?rubrique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aobab.uc3m.es/monet/monnet/spip.php?rubrique74" TargetMode="External"/><Relationship Id="rId20" Type="http://schemas.openxmlformats.org/officeDocument/2006/relationships/hyperlink" Target="https://baobab.uc3m.es/monet/monnet/spip.php?article5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obab.uc3m.es/monet/monnet/spip.php?rubrique23&amp;debut_articles=3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baobab.uc3m.es/monet/monnet/spip.php?rubrique121" TargetMode="External"/><Relationship Id="rId23" Type="http://schemas.openxmlformats.org/officeDocument/2006/relationships/hyperlink" Target="https://baobab.uc3m.es/monet/monnet/spip.php?article580" TargetMode="External"/><Relationship Id="rId10" Type="http://schemas.openxmlformats.org/officeDocument/2006/relationships/hyperlink" Target="https://baobab.uc3m.es/monet/monnet/spip.php?rubrique23&amp;debut_articles=20" TargetMode="External"/><Relationship Id="rId19" Type="http://schemas.openxmlformats.org/officeDocument/2006/relationships/hyperlink" Target="https://baobab.uc3m.es/monet/monnet/spip.php?rubrique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obab.uc3m.es/monet/monnet/spip.php?rubrique23&amp;debut_articles=10" TargetMode="External"/><Relationship Id="rId14" Type="http://schemas.openxmlformats.org/officeDocument/2006/relationships/hyperlink" Target="https://baobab.uc3m.es/monet/monnet/spip.php?rubrique91" TargetMode="External"/><Relationship Id="rId22" Type="http://schemas.openxmlformats.org/officeDocument/2006/relationships/hyperlink" Target="https://baobab.uc3m.es/monet/monnet/spip.php?article58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JUAN MESONADA, CARLOS</dc:creator>
  <cp:keywords/>
  <dc:description/>
  <cp:lastModifiedBy>csj</cp:lastModifiedBy>
  <cp:revision>2</cp:revision>
  <dcterms:created xsi:type="dcterms:W3CDTF">2021-11-02T08:14:00Z</dcterms:created>
  <dcterms:modified xsi:type="dcterms:W3CDTF">2021-11-02T08:14:00Z</dcterms:modified>
</cp:coreProperties>
</file>