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634A" w14:textId="77777777" w:rsidR="00150FE3" w:rsidRPr="00150FE3" w:rsidRDefault="00150FE3" w:rsidP="00150FE3">
      <w:pPr>
        <w:pStyle w:val="Ttulo1"/>
        <w:rPr>
          <w:lang w:val="es-ES"/>
        </w:rPr>
      </w:pPr>
      <w:r>
        <w:rPr>
          <w:lang w:val="es-ES"/>
        </w:rPr>
        <w:t xml:space="preserve"> </w:t>
      </w:r>
      <w:r w:rsidRPr="00150FE3">
        <w:rPr>
          <w:lang w:val="es-ES"/>
        </w:rPr>
        <w:t xml:space="preserve">Objetivos de la </w:t>
      </w:r>
      <w:r>
        <w:rPr>
          <w:lang w:val="es-ES"/>
        </w:rPr>
        <w:t>política</w:t>
      </w:r>
      <w:r w:rsidRPr="00150FE3">
        <w:rPr>
          <w:lang w:val="es-ES"/>
        </w:rPr>
        <w:t xml:space="preserve"> </w:t>
      </w:r>
      <w:r>
        <w:rPr>
          <w:lang w:val="es-ES"/>
        </w:rPr>
        <w:t>agrícola</w:t>
      </w:r>
      <w:r w:rsidRPr="00150FE3">
        <w:rPr>
          <w:lang w:val="es-ES"/>
        </w:rPr>
        <w:t xml:space="preserve"> </w:t>
      </w:r>
      <w:r>
        <w:rPr>
          <w:lang w:val="es-ES"/>
        </w:rPr>
        <w:t xml:space="preserve">común </w:t>
      </w:r>
    </w:p>
    <w:p w14:paraId="4249F12A" w14:textId="77777777" w:rsidR="00150FE3" w:rsidRPr="00150FE3" w:rsidRDefault="00150FE3" w:rsidP="00150FE3">
      <w:pPr>
        <w:rPr>
          <w:lang w:val="es-ES"/>
        </w:rPr>
      </w:pPr>
    </w:p>
    <w:p w14:paraId="29B5A596" w14:textId="77777777" w:rsidR="00150FE3" w:rsidRPr="00150FE3" w:rsidRDefault="00150FE3" w:rsidP="00150FE3">
      <w:pPr>
        <w:rPr>
          <w:lang w:val="es-ES"/>
        </w:rPr>
      </w:pPr>
      <w:r w:rsidRPr="00150FE3">
        <w:rPr>
          <w:lang w:val="es-ES"/>
        </w:rPr>
        <w:t xml:space="preserve">Creada en 1962, la </w:t>
      </w:r>
      <w:r>
        <w:rPr>
          <w:lang w:val="es-ES"/>
        </w:rPr>
        <w:t>política</w:t>
      </w:r>
      <w:r w:rsidRPr="00150FE3">
        <w:rPr>
          <w:lang w:val="es-ES"/>
        </w:rPr>
        <w:t xml:space="preserve"> </w:t>
      </w:r>
      <w:r>
        <w:rPr>
          <w:lang w:val="es-ES"/>
        </w:rPr>
        <w:t>agrícola</w:t>
      </w:r>
      <w:r w:rsidRPr="00150FE3">
        <w:rPr>
          <w:lang w:val="es-ES"/>
        </w:rPr>
        <w:t xml:space="preserve"> </w:t>
      </w:r>
      <w:r>
        <w:rPr>
          <w:lang w:val="es-ES"/>
        </w:rPr>
        <w:t>común</w:t>
      </w:r>
      <w:r w:rsidRPr="00150FE3">
        <w:rPr>
          <w:lang w:val="es-ES"/>
        </w:rPr>
        <w:t xml:space="preserve"> (PAC) es una de las </w:t>
      </w:r>
      <w:r>
        <w:rPr>
          <w:lang w:val="es-ES"/>
        </w:rPr>
        <w:t>políticas</w:t>
      </w:r>
      <w:r w:rsidRPr="00150FE3">
        <w:rPr>
          <w:lang w:val="es-ES"/>
        </w:rPr>
        <w:t xml:space="preserve"> comunes </w:t>
      </w:r>
      <w:r>
        <w:rPr>
          <w:lang w:val="es-ES"/>
        </w:rPr>
        <w:t xml:space="preserve">más </w:t>
      </w:r>
      <w:r w:rsidRPr="00150FE3">
        <w:rPr>
          <w:lang w:val="es-ES"/>
        </w:rPr>
        <w:t>antiguas y fu</w:t>
      </w:r>
      <w:r>
        <w:rPr>
          <w:rFonts w:ascii="Calibri" w:hAnsi="Calibri" w:cs="Calibri"/>
          <w:lang w:val="es-ES"/>
        </w:rPr>
        <w:t>e</w:t>
      </w:r>
      <w:r w:rsidRPr="00150FE3">
        <w:rPr>
          <w:lang w:val="es-ES"/>
        </w:rPr>
        <w:t xml:space="preserve"> creada para asegurar el abastecimiento de alimentos y asegurar las rentas de los agricultores. Sus objetivos son</w:t>
      </w:r>
      <w:r w:rsidR="003F1541">
        <w:rPr>
          <w:lang w:val="es-ES"/>
        </w:rPr>
        <w:t xml:space="preserve"> (Comisión, 2021)</w:t>
      </w:r>
      <w:r w:rsidR="003F1541">
        <w:rPr>
          <w:rStyle w:val="Refdenotaalpie"/>
          <w:lang w:val="es-ES"/>
        </w:rPr>
        <w:footnoteReference w:id="1"/>
      </w:r>
      <w:r w:rsidRPr="00150FE3">
        <w:rPr>
          <w:lang w:val="es-ES"/>
        </w:rPr>
        <w:t>:</w:t>
      </w:r>
    </w:p>
    <w:p w14:paraId="389E305A" w14:textId="77777777" w:rsidR="00150FE3" w:rsidRPr="00150FE3" w:rsidRDefault="00150FE3" w:rsidP="00150FE3">
      <w:pPr>
        <w:rPr>
          <w:lang w:val="es-ES"/>
        </w:rPr>
      </w:pPr>
    </w:p>
    <w:p w14:paraId="27B1C3C4" w14:textId="77777777" w:rsidR="00150FE3" w:rsidRPr="00150FE3" w:rsidRDefault="00150FE3" w:rsidP="00150FE3">
      <w:pPr>
        <w:rPr>
          <w:lang w:val="es-ES"/>
        </w:rPr>
      </w:pPr>
      <w:r w:rsidRPr="00150FE3">
        <w:rPr>
          <w:lang w:val="es-ES"/>
        </w:rPr>
        <w:t>1</w:t>
      </w:r>
      <w:r w:rsidR="003F1541">
        <w:rPr>
          <w:lang w:val="es-ES"/>
        </w:rPr>
        <w:t xml:space="preserve">) Apoyar a los agricultores y </w:t>
      </w:r>
      <w:r w:rsidRPr="003F1541">
        <w:rPr>
          <w:b/>
          <w:lang w:val="es-ES"/>
        </w:rPr>
        <w:t>mejorar la productividad agrícola</w:t>
      </w:r>
      <w:r>
        <w:rPr>
          <w:lang w:val="es-ES"/>
        </w:rPr>
        <w:t xml:space="preserve">, asegurando un </w:t>
      </w:r>
      <w:r w:rsidRPr="00150FE3">
        <w:rPr>
          <w:lang w:val="es-ES"/>
        </w:rPr>
        <w:t>suministro estable de alimentos asequibles}};</w:t>
      </w:r>
    </w:p>
    <w:p w14:paraId="69AFEC39" w14:textId="77777777" w:rsidR="00150FE3" w:rsidRPr="00150FE3" w:rsidRDefault="00150FE3" w:rsidP="00150FE3">
      <w:pPr>
        <w:rPr>
          <w:lang w:val="es-ES"/>
        </w:rPr>
      </w:pPr>
    </w:p>
    <w:p w14:paraId="1D06457D" w14:textId="77777777" w:rsidR="00150FE3" w:rsidRPr="00150FE3" w:rsidRDefault="00150FE3" w:rsidP="00150FE3">
      <w:pPr>
        <w:rPr>
          <w:lang w:val="es-ES"/>
        </w:rPr>
      </w:pPr>
      <w:r w:rsidRPr="00150FE3">
        <w:rPr>
          <w:lang w:val="es-ES"/>
        </w:rPr>
        <w:t>2) Garantizar a los agricultores de la Uni</w:t>
      </w:r>
      <w:r>
        <w:rPr>
          <w:lang w:val="es-ES"/>
        </w:rPr>
        <w:t>ó</w:t>
      </w:r>
      <w:r w:rsidRPr="00150FE3">
        <w:rPr>
          <w:lang w:val="es-ES"/>
        </w:rPr>
        <w:t xml:space="preserve">n Europea un </w:t>
      </w:r>
      <w:r w:rsidRPr="003F1541">
        <w:rPr>
          <w:b/>
          <w:lang w:val="es-ES"/>
        </w:rPr>
        <w:t>nivel de vida razonable</w:t>
      </w:r>
      <w:r w:rsidRPr="00150FE3">
        <w:rPr>
          <w:lang w:val="es-ES"/>
        </w:rPr>
        <w:t>;</w:t>
      </w:r>
    </w:p>
    <w:p w14:paraId="14A48CC7" w14:textId="77777777" w:rsidR="00150FE3" w:rsidRPr="00150FE3" w:rsidRDefault="00150FE3" w:rsidP="00150FE3">
      <w:pPr>
        <w:rPr>
          <w:lang w:val="es-ES"/>
        </w:rPr>
      </w:pPr>
    </w:p>
    <w:p w14:paraId="07B962E5" w14:textId="77777777" w:rsidR="00150FE3" w:rsidRPr="00150FE3" w:rsidRDefault="00150FE3" w:rsidP="00150FE3">
      <w:pPr>
        <w:rPr>
          <w:lang w:val="es-ES"/>
        </w:rPr>
      </w:pPr>
      <w:r w:rsidRPr="00150FE3">
        <w:rPr>
          <w:lang w:val="es-ES"/>
        </w:rPr>
        <w:t xml:space="preserve">3) Contribuir a la </w:t>
      </w:r>
      <w:r w:rsidRPr="003F1541">
        <w:rPr>
          <w:b/>
          <w:lang w:val="es-ES"/>
        </w:rPr>
        <w:t>lucha contra el cambio climático</w:t>
      </w:r>
      <w:r w:rsidRPr="00150FE3">
        <w:rPr>
          <w:lang w:val="es-ES"/>
        </w:rPr>
        <w:t xml:space="preserve"> y la gesti</w:t>
      </w:r>
      <w:r>
        <w:rPr>
          <w:rFonts w:ascii="Calibri" w:hAnsi="Calibri" w:cs="Calibri"/>
          <w:lang w:val="es-ES"/>
        </w:rPr>
        <w:t>ó</w:t>
      </w:r>
      <w:r w:rsidRPr="00150FE3">
        <w:rPr>
          <w:lang w:val="es-ES"/>
        </w:rPr>
        <w:t xml:space="preserve">n </w:t>
      </w:r>
      <w:r w:rsidRPr="003F1541">
        <w:rPr>
          <w:b/>
          <w:lang w:val="es-ES"/>
        </w:rPr>
        <w:t>sostenible</w:t>
      </w:r>
      <w:r w:rsidRPr="00150FE3">
        <w:rPr>
          <w:lang w:val="es-ES"/>
        </w:rPr>
        <w:t xml:space="preserve"> de los recursos naturales;</w:t>
      </w:r>
    </w:p>
    <w:p w14:paraId="6E13B24C" w14:textId="77777777" w:rsidR="00150FE3" w:rsidRPr="00150FE3" w:rsidRDefault="00150FE3" w:rsidP="00150FE3">
      <w:pPr>
        <w:rPr>
          <w:lang w:val="es-ES"/>
        </w:rPr>
      </w:pPr>
    </w:p>
    <w:p w14:paraId="04ABF5EA" w14:textId="77777777" w:rsidR="00150FE3" w:rsidRPr="00150FE3" w:rsidRDefault="00150FE3" w:rsidP="00150FE3">
      <w:pPr>
        <w:rPr>
          <w:lang w:val="es-ES"/>
        </w:rPr>
      </w:pPr>
      <w:r w:rsidRPr="00150FE3">
        <w:rPr>
          <w:lang w:val="es-ES"/>
        </w:rPr>
        <w:t xml:space="preserve">4) </w:t>
      </w:r>
      <w:r w:rsidRPr="003F1541">
        <w:rPr>
          <w:b/>
          <w:lang w:val="es-ES"/>
        </w:rPr>
        <w:t>Conservar los paisajes y zonas rurales</w:t>
      </w:r>
      <w:r w:rsidRPr="00150FE3">
        <w:rPr>
          <w:lang w:val="es-ES"/>
        </w:rPr>
        <w:t xml:space="preserve"> de toda la UE;</w:t>
      </w:r>
    </w:p>
    <w:p w14:paraId="5405BF7D" w14:textId="77777777" w:rsidR="00150FE3" w:rsidRPr="00150FE3" w:rsidRDefault="00150FE3" w:rsidP="00150FE3">
      <w:pPr>
        <w:rPr>
          <w:lang w:val="es-ES"/>
        </w:rPr>
      </w:pPr>
    </w:p>
    <w:p w14:paraId="7B900210" w14:textId="77777777" w:rsidR="00150FE3" w:rsidRPr="00150FE3" w:rsidRDefault="00150FE3" w:rsidP="00150FE3">
      <w:pPr>
        <w:rPr>
          <w:lang w:val="es-ES"/>
        </w:rPr>
      </w:pPr>
      <w:r w:rsidRPr="00150FE3">
        <w:rPr>
          <w:lang w:val="es-ES"/>
        </w:rPr>
        <w:t xml:space="preserve">5) </w:t>
      </w:r>
      <w:r w:rsidRPr="003F1541">
        <w:rPr>
          <w:b/>
          <w:lang w:val="es-ES"/>
        </w:rPr>
        <w:t>Mantener viva la economía rural</w:t>
      </w:r>
      <w:r w:rsidRPr="00150FE3">
        <w:rPr>
          <w:lang w:val="es-ES"/>
        </w:rPr>
        <w:t>, impulsando el empleo en la agricultura, las industrias agroalimentarias y sectores asociados.</w:t>
      </w:r>
    </w:p>
    <w:p w14:paraId="5EAC0FFB" w14:textId="77777777" w:rsidR="00150FE3" w:rsidRPr="00150FE3" w:rsidRDefault="00150FE3" w:rsidP="00150FE3">
      <w:pPr>
        <w:rPr>
          <w:lang w:val="es-ES"/>
        </w:rPr>
      </w:pPr>
    </w:p>
    <w:p w14:paraId="09EDE6E1" w14:textId="77777777" w:rsidR="00150FE3" w:rsidRPr="00150FE3" w:rsidRDefault="00150FE3" w:rsidP="00150FE3">
      <w:pPr>
        <w:rPr>
          <w:lang w:val="es-ES"/>
        </w:rPr>
      </w:pPr>
      <w:r w:rsidRPr="00150FE3">
        <w:rPr>
          <w:lang w:val="es-ES"/>
        </w:rPr>
        <w:t xml:space="preserve">La PAC es una </w:t>
      </w:r>
      <w:r>
        <w:rPr>
          <w:lang w:val="es-ES"/>
        </w:rPr>
        <w:t>política</w:t>
      </w:r>
      <w:r w:rsidRPr="00150FE3">
        <w:rPr>
          <w:lang w:val="es-ES"/>
        </w:rPr>
        <w:t xml:space="preserve"> </w:t>
      </w:r>
      <w:r>
        <w:rPr>
          <w:lang w:val="es-ES"/>
        </w:rPr>
        <w:t>común</w:t>
      </w:r>
      <w:r w:rsidRPr="00150FE3">
        <w:rPr>
          <w:lang w:val="es-ES"/>
        </w:rPr>
        <w:t xml:space="preserve"> para todos los pa</w:t>
      </w:r>
      <w:r>
        <w:rPr>
          <w:rFonts w:ascii="Calibri" w:hAnsi="Calibri" w:cs="Calibri"/>
          <w:lang w:val="es-ES"/>
        </w:rPr>
        <w:t>í</w:t>
      </w:r>
      <w:r w:rsidRPr="00150FE3">
        <w:rPr>
          <w:lang w:val="es-ES"/>
        </w:rPr>
        <w:t>ses de la UE. Se gestiona y financia a escala europea mediante los recursos del presupuesto de la UE.</w:t>
      </w:r>
    </w:p>
    <w:p w14:paraId="06BEFF49" w14:textId="77777777" w:rsidR="00150FE3" w:rsidRPr="00150FE3" w:rsidRDefault="00150FE3" w:rsidP="00150FE3">
      <w:pPr>
        <w:rPr>
          <w:lang w:val="es-ES"/>
        </w:rPr>
      </w:pPr>
    </w:p>
    <w:p w14:paraId="68545A2D" w14:textId="77777777" w:rsidR="00150FE3" w:rsidRPr="00150FE3" w:rsidRDefault="00150FE3" w:rsidP="00150FE3">
      <w:pPr>
        <w:pStyle w:val="Ttulo2"/>
        <w:rPr>
          <w:lang w:val="es-ES"/>
        </w:rPr>
      </w:pPr>
      <w:r w:rsidRPr="00150FE3">
        <w:rPr>
          <w:lang w:val="es-ES"/>
        </w:rPr>
        <w:t>La PAC en la pr</w:t>
      </w:r>
      <w:r>
        <w:rPr>
          <w:lang w:val="es-ES"/>
        </w:rPr>
        <w:t>á</w:t>
      </w:r>
      <w:r w:rsidRPr="00150FE3">
        <w:rPr>
          <w:lang w:val="es-ES"/>
        </w:rPr>
        <w:t>ctica</w:t>
      </w:r>
    </w:p>
    <w:p w14:paraId="07145534" w14:textId="77777777" w:rsidR="00150FE3" w:rsidRPr="00150FE3" w:rsidRDefault="00150FE3" w:rsidP="00150FE3">
      <w:pPr>
        <w:rPr>
          <w:lang w:val="es-ES"/>
        </w:rPr>
      </w:pPr>
    </w:p>
    <w:p w14:paraId="3215721A" w14:textId="77777777" w:rsidR="00150FE3" w:rsidRPr="00150FE3" w:rsidRDefault="00150FE3" w:rsidP="00150FE3">
      <w:pPr>
        <w:rPr>
          <w:lang w:val="es-ES"/>
        </w:rPr>
      </w:pPr>
      <w:r w:rsidRPr="00150FE3">
        <w:rPr>
          <w:lang w:val="es-ES"/>
        </w:rPr>
        <w:t>La agricultura se diferencia de la mayor</w:t>
      </w:r>
      <w:r>
        <w:rPr>
          <w:lang w:val="es-ES"/>
        </w:rPr>
        <w:t>í</w:t>
      </w:r>
      <w:r w:rsidRPr="00150FE3">
        <w:rPr>
          <w:lang w:val="es-ES"/>
        </w:rPr>
        <w:t>a de los de</w:t>
      </w:r>
      <w:r>
        <w:rPr>
          <w:lang w:val="es-ES"/>
        </w:rPr>
        <w:t xml:space="preserve">más </w:t>
      </w:r>
      <w:r w:rsidRPr="00150FE3">
        <w:rPr>
          <w:lang w:val="es-ES"/>
        </w:rPr>
        <w:t>sectores por las siguientes razones:</w:t>
      </w:r>
    </w:p>
    <w:p w14:paraId="7BC70A7C" w14:textId="77777777" w:rsidR="00150FE3" w:rsidRPr="00150FE3" w:rsidRDefault="00150FE3" w:rsidP="00150FE3">
      <w:pPr>
        <w:rPr>
          <w:lang w:val="es-ES"/>
        </w:rPr>
      </w:pPr>
    </w:p>
    <w:p w14:paraId="1DEA3C59" w14:textId="77777777" w:rsidR="003F1541" w:rsidRDefault="003F1541" w:rsidP="00120701">
      <w:pPr>
        <w:pStyle w:val="Prrafodelista"/>
        <w:numPr>
          <w:ilvl w:val="0"/>
          <w:numId w:val="2"/>
        </w:numPr>
        <w:rPr>
          <w:lang w:val="es-ES"/>
        </w:rPr>
      </w:pPr>
      <w:r w:rsidRPr="003F1541">
        <w:rPr>
          <w:b/>
          <w:lang w:val="es-ES"/>
        </w:rPr>
        <w:lastRenderedPageBreak/>
        <w:t>BAJAS RENTAS AGRARIAS:</w:t>
      </w:r>
      <w:r w:rsidRPr="003F1541">
        <w:rPr>
          <w:lang w:val="es-ES"/>
        </w:rPr>
        <w:t xml:space="preserve"> </w:t>
      </w:r>
      <w:r w:rsidR="00150FE3" w:rsidRPr="003F1541">
        <w:rPr>
          <w:lang w:val="es-ES"/>
        </w:rPr>
        <w:t xml:space="preserve">los ingresos de los agricultores, pese a la importancia de la producción alimentaria, son alrededor de un </w:t>
      </w:r>
      <w:r w:rsidR="00150FE3" w:rsidRPr="003F1541">
        <w:rPr>
          <w:b/>
          <w:lang w:val="es-ES"/>
        </w:rPr>
        <w:t>40 % inferiores a los de los trabajadores de otros sectores</w:t>
      </w:r>
      <w:r w:rsidR="00150FE3" w:rsidRPr="003F1541">
        <w:rPr>
          <w:lang w:val="es-ES"/>
        </w:rPr>
        <w:t>;</w:t>
      </w:r>
    </w:p>
    <w:p w14:paraId="3E19DB34" w14:textId="77777777" w:rsidR="003F1541" w:rsidRDefault="00150FE3" w:rsidP="00120701">
      <w:pPr>
        <w:pStyle w:val="Prrafodelista"/>
        <w:numPr>
          <w:ilvl w:val="0"/>
          <w:numId w:val="2"/>
        </w:numPr>
        <w:rPr>
          <w:lang w:val="es-ES"/>
        </w:rPr>
      </w:pPr>
      <w:r w:rsidRPr="003F1541">
        <w:rPr>
          <w:b/>
          <w:lang w:val="es-ES"/>
        </w:rPr>
        <w:t>VOLATILIDAD DE LA OFERTA:</w:t>
      </w:r>
      <w:r w:rsidRPr="003F1541">
        <w:rPr>
          <w:lang w:val="es-ES"/>
        </w:rPr>
        <w:t xml:space="preserve"> la agricultura depende más del clima y las condiciones meteorol</w:t>
      </w:r>
      <w:r w:rsidRPr="003F1541">
        <w:rPr>
          <w:rFonts w:ascii="Calibri" w:hAnsi="Calibri" w:cs="Calibri"/>
          <w:lang w:val="es-ES"/>
        </w:rPr>
        <w:t>ó</w:t>
      </w:r>
      <w:r w:rsidRPr="003F1541">
        <w:rPr>
          <w:lang w:val="es-ES"/>
        </w:rPr>
        <w:t xml:space="preserve">gicas que muchos otros sectores; </w:t>
      </w:r>
    </w:p>
    <w:p w14:paraId="00FB2E90" w14:textId="77777777" w:rsidR="00150FE3" w:rsidRPr="003F1541" w:rsidRDefault="00150FE3" w:rsidP="00120701">
      <w:pPr>
        <w:pStyle w:val="Prrafodelista"/>
        <w:numPr>
          <w:ilvl w:val="0"/>
          <w:numId w:val="2"/>
        </w:numPr>
        <w:rPr>
          <w:lang w:val="es-ES"/>
        </w:rPr>
      </w:pPr>
      <w:r w:rsidRPr="003F1541">
        <w:rPr>
          <w:b/>
          <w:lang w:val="es-ES"/>
        </w:rPr>
        <w:t>RETARDO EN RESPUESTA DE LA DEMANDA:</w:t>
      </w:r>
      <w:r w:rsidRPr="003F1541">
        <w:rPr>
          <w:lang w:val="es-ES"/>
        </w:rPr>
        <w:t xml:space="preserve"> existe un lapso inevitable entre la demanda del consumidor y el momento en el que el agricultor puede satisfacerla: lleva tiempo, por ejemplo, cultivar más trigo o producir más leche.</w:t>
      </w:r>
    </w:p>
    <w:p w14:paraId="3F360787" w14:textId="77777777" w:rsidR="00150FE3" w:rsidRPr="00150FE3" w:rsidRDefault="00150FE3" w:rsidP="00150FE3">
      <w:pPr>
        <w:rPr>
          <w:lang w:val="es-ES"/>
        </w:rPr>
      </w:pPr>
    </w:p>
    <w:p w14:paraId="16CBAF3F" w14:textId="77777777" w:rsidR="00150FE3" w:rsidRPr="00150FE3" w:rsidRDefault="00150FE3" w:rsidP="00150FE3">
      <w:pPr>
        <w:rPr>
          <w:lang w:val="es-ES"/>
        </w:rPr>
      </w:pPr>
      <w:r w:rsidRPr="00150FE3">
        <w:rPr>
          <w:lang w:val="es-ES"/>
        </w:rPr>
        <w:t>Ade</w:t>
      </w:r>
      <w:r>
        <w:rPr>
          <w:lang w:val="es-ES"/>
        </w:rPr>
        <w:t>más</w:t>
      </w:r>
      <w:r w:rsidR="003F1541">
        <w:rPr>
          <w:lang w:val="es-ES"/>
        </w:rPr>
        <w:t xml:space="preserve"> </w:t>
      </w:r>
      <w:r w:rsidRPr="00150FE3">
        <w:rPr>
          <w:lang w:val="es-ES"/>
        </w:rPr>
        <w:t xml:space="preserve">de velar por la rentabilidad, los agricultores deben trabajar de manera sostenible y respetuosa con el medio ambiente, preservando nuestros </w:t>
      </w:r>
      <w:r w:rsidR="003F1541">
        <w:rPr>
          <w:lang w:val="es-ES"/>
        </w:rPr>
        <w:t>suelos y nuestra biodiversidad.</w:t>
      </w:r>
    </w:p>
    <w:p w14:paraId="1F0EC3BA" w14:textId="77777777" w:rsidR="00150FE3" w:rsidRPr="00150FE3" w:rsidRDefault="00150FE3" w:rsidP="00150FE3">
      <w:pPr>
        <w:rPr>
          <w:lang w:val="es-ES"/>
        </w:rPr>
      </w:pPr>
      <w:r w:rsidRPr="00150FE3">
        <w:rPr>
          <w:lang w:val="es-ES"/>
        </w:rPr>
        <w:t>La incertidumbre econ</w:t>
      </w:r>
      <w:r>
        <w:rPr>
          <w:lang w:val="es-ES"/>
        </w:rPr>
        <w:t>ó</w:t>
      </w:r>
      <w:r w:rsidRPr="00150FE3">
        <w:rPr>
          <w:lang w:val="es-ES"/>
        </w:rPr>
        <w:t>mica y el impacto medioambiental de la agricultura explican el papel que desempe</w:t>
      </w:r>
      <w:r>
        <w:rPr>
          <w:rFonts w:ascii="Calibri" w:hAnsi="Calibri" w:cs="Calibri"/>
          <w:lang w:val="es-ES"/>
        </w:rPr>
        <w:t>ñ</w:t>
      </w:r>
      <w:r w:rsidRPr="00150FE3">
        <w:rPr>
          <w:lang w:val="es-ES"/>
        </w:rPr>
        <w:t xml:space="preserve">a el sector </w:t>
      </w:r>
      <w:r>
        <w:rPr>
          <w:lang w:val="es-ES"/>
        </w:rPr>
        <w:t xml:space="preserve">público </w:t>
      </w:r>
      <w:r w:rsidRPr="00150FE3">
        <w:rPr>
          <w:lang w:val="es-ES"/>
        </w:rPr>
        <w:t xml:space="preserve">en el sector. </w:t>
      </w:r>
    </w:p>
    <w:p w14:paraId="1477871F" w14:textId="77777777" w:rsidR="00150FE3" w:rsidRPr="00150FE3" w:rsidRDefault="00150FE3" w:rsidP="00B51263">
      <w:pPr>
        <w:pStyle w:val="Ttulo3"/>
        <w:rPr>
          <w:lang w:val="es-ES"/>
        </w:rPr>
      </w:pPr>
      <w:r w:rsidRPr="00150FE3">
        <w:rPr>
          <w:lang w:val="es-ES"/>
        </w:rPr>
        <w:t>Son medidas de la PAC:</w:t>
      </w:r>
    </w:p>
    <w:p w14:paraId="48876DDA" w14:textId="77777777" w:rsidR="00150FE3" w:rsidRPr="00150FE3" w:rsidRDefault="00150FE3" w:rsidP="00150FE3">
      <w:pPr>
        <w:rPr>
          <w:lang w:val="es-ES"/>
        </w:rPr>
      </w:pPr>
    </w:p>
    <w:p w14:paraId="0E8E29E0" w14:textId="77777777" w:rsidR="00150FE3" w:rsidRPr="00150FE3" w:rsidRDefault="00150FE3" w:rsidP="00150FE3">
      <w:pPr>
        <w:rPr>
          <w:lang w:val="es-ES"/>
        </w:rPr>
      </w:pPr>
      <w:r w:rsidRPr="00150FE3">
        <w:rPr>
          <w:lang w:val="es-ES"/>
        </w:rPr>
        <w:t xml:space="preserve">1.-la </w:t>
      </w:r>
      <w:r w:rsidRPr="00B51263">
        <w:rPr>
          <w:b/>
          <w:lang w:val="es-ES"/>
        </w:rPr>
        <w:t>ayuda a la renta mediante pagos directos</w:t>
      </w:r>
      <w:r w:rsidRPr="00150FE3">
        <w:rPr>
          <w:lang w:val="es-ES"/>
        </w:rPr>
        <w:t xml:space="preserve"> que garantizan la estabilidad de los ingresos y remuneran a los agricultores por practicar una agricultura respetuosa del medio ambiente y por prestar servicios </w:t>
      </w:r>
      <w:r>
        <w:rPr>
          <w:lang w:val="es-ES"/>
        </w:rPr>
        <w:t>públicos</w:t>
      </w:r>
      <w:r w:rsidRPr="00150FE3">
        <w:rPr>
          <w:lang w:val="es-ES"/>
        </w:rPr>
        <w:t xml:space="preserve"> que los mercados no suelen recompensar, como el cuidado del campo;</w:t>
      </w:r>
    </w:p>
    <w:p w14:paraId="7EE93C81" w14:textId="77777777" w:rsidR="00150FE3" w:rsidRPr="00150FE3" w:rsidRDefault="00150FE3" w:rsidP="00150FE3">
      <w:pPr>
        <w:rPr>
          <w:lang w:val="es-ES"/>
        </w:rPr>
      </w:pPr>
    </w:p>
    <w:p w14:paraId="54C321AA" w14:textId="77777777" w:rsidR="00150FE3" w:rsidRPr="00150FE3" w:rsidRDefault="00150FE3" w:rsidP="00150FE3">
      <w:pPr>
        <w:rPr>
          <w:lang w:val="es-ES"/>
        </w:rPr>
      </w:pPr>
      <w:r>
        <w:rPr>
          <w:lang w:val="es-ES"/>
        </w:rPr>
        <w:t xml:space="preserve">2.-las </w:t>
      </w:r>
      <w:r w:rsidRPr="00150FE3">
        <w:rPr>
          <w:b/>
          <w:lang w:val="es-ES"/>
        </w:rPr>
        <w:t>medidas de mercado</w:t>
      </w:r>
      <w:r w:rsidRPr="00150FE3">
        <w:rPr>
          <w:lang w:val="es-ES"/>
        </w:rPr>
        <w:t xml:space="preserve"> para abordar situaciones dif</w:t>
      </w:r>
      <w:r>
        <w:rPr>
          <w:lang w:val="es-ES"/>
        </w:rPr>
        <w:t>í</w:t>
      </w:r>
      <w:r w:rsidRPr="00150FE3">
        <w:rPr>
          <w:lang w:val="es-ES"/>
        </w:rPr>
        <w:t>ciles en los mercados, tales como desplomes repentinos de la demanda debidos a alarmas sanitarias o ca</w:t>
      </w:r>
      <w:r>
        <w:rPr>
          <w:rFonts w:ascii="Calibri" w:hAnsi="Calibri" w:cs="Calibri"/>
          <w:lang w:val="es-ES"/>
        </w:rPr>
        <w:t>í</w:t>
      </w:r>
      <w:r w:rsidRPr="00150FE3">
        <w:rPr>
          <w:lang w:val="es-ES"/>
        </w:rPr>
        <w:t>das de precios debidas a una oferta excesiva en el mercado;</w:t>
      </w:r>
    </w:p>
    <w:p w14:paraId="5CEF59E3" w14:textId="77777777" w:rsidR="00150FE3" w:rsidRPr="00150FE3" w:rsidRDefault="00150FE3" w:rsidP="00150FE3">
      <w:pPr>
        <w:rPr>
          <w:lang w:val="es-ES"/>
        </w:rPr>
      </w:pPr>
    </w:p>
    <w:p w14:paraId="65583F37" w14:textId="77777777" w:rsidR="00150FE3" w:rsidRPr="00150FE3" w:rsidRDefault="00150FE3" w:rsidP="00150FE3">
      <w:pPr>
        <w:rPr>
          <w:lang w:val="es-ES"/>
        </w:rPr>
      </w:pPr>
      <w:r w:rsidRPr="00150FE3">
        <w:rPr>
          <w:lang w:val="es-ES"/>
        </w:rPr>
        <w:t>3.-las</w:t>
      </w:r>
      <w:r>
        <w:rPr>
          <w:lang w:val="es-ES"/>
        </w:rPr>
        <w:t xml:space="preserve"> medidas de </w:t>
      </w:r>
      <w:r w:rsidRPr="00150FE3">
        <w:rPr>
          <w:b/>
          <w:lang w:val="es-ES"/>
        </w:rPr>
        <w:t>desarrollo rural</w:t>
      </w:r>
      <w:r w:rsidRPr="00150FE3">
        <w:rPr>
          <w:lang w:val="es-ES"/>
        </w:rPr>
        <w:t xml:space="preserve"> consistentes en programas nacionales y regionales para atender a las necesidades y retos espec</w:t>
      </w:r>
      <w:r>
        <w:rPr>
          <w:lang w:val="es-ES"/>
        </w:rPr>
        <w:t>í</w:t>
      </w:r>
      <w:r w:rsidRPr="00150FE3">
        <w:rPr>
          <w:lang w:val="es-ES"/>
        </w:rPr>
        <w:t>ficos de las zonas rurales.</w:t>
      </w:r>
    </w:p>
    <w:p w14:paraId="057E1473" w14:textId="77777777" w:rsidR="00150FE3" w:rsidRPr="00150FE3" w:rsidRDefault="00150FE3" w:rsidP="00150FE3">
      <w:pPr>
        <w:rPr>
          <w:lang w:val="es-ES"/>
        </w:rPr>
      </w:pPr>
    </w:p>
    <w:p w14:paraId="50E32FBB" w14:textId="77777777" w:rsidR="00150FE3" w:rsidRPr="00150FE3" w:rsidRDefault="00150FE3" w:rsidP="00150FE3">
      <w:pPr>
        <w:rPr>
          <w:lang w:val="es-ES"/>
        </w:rPr>
      </w:pPr>
      <w:r w:rsidRPr="00150FE3">
        <w:rPr>
          <w:lang w:val="es-ES"/>
        </w:rPr>
        <w:t xml:space="preserve">La PAC se financia a </w:t>
      </w:r>
      <w:r>
        <w:rPr>
          <w:lang w:val="es-ES"/>
        </w:rPr>
        <w:t xml:space="preserve">través </w:t>
      </w:r>
      <w:r w:rsidRPr="00150FE3">
        <w:rPr>
          <w:lang w:val="es-ES"/>
        </w:rPr>
        <w:t>de dos fondos englobados en el presupuesto de la UE:</w:t>
      </w:r>
    </w:p>
    <w:p w14:paraId="36AAFC5D" w14:textId="77777777" w:rsidR="00150FE3" w:rsidRPr="00150FE3" w:rsidRDefault="00150FE3" w:rsidP="00150FE3">
      <w:pPr>
        <w:rPr>
          <w:lang w:val="es-ES"/>
        </w:rPr>
      </w:pPr>
    </w:p>
    <w:p w14:paraId="58A0570C" w14:textId="77777777" w:rsidR="00150FE3" w:rsidRPr="00150FE3" w:rsidRDefault="00150FE3" w:rsidP="00150FE3">
      <w:pPr>
        <w:rPr>
          <w:lang w:val="es-ES"/>
        </w:rPr>
      </w:pPr>
      <w:r w:rsidRPr="00150FE3">
        <w:rPr>
          <w:lang w:val="es-ES"/>
        </w:rPr>
        <w:t xml:space="preserve">1.-el </w:t>
      </w:r>
      <w:r w:rsidRPr="00150FE3">
        <w:rPr>
          <w:b/>
          <w:lang w:val="es-ES"/>
        </w:rPr>
        <w:t>Fondo Europeo Agrícola de Garant</w:t>
      </w:r>
      <w:r w:rsidRPr="00150FE3">
        <w:rPr>
          <w:rFonts w:ascii="Calibri" w:hAnsi="Calibri" w:cs="Calibri"/>
          <w:b/>
          <w:lang w:val="es-ES"/>
        </w:rPr>
        <w:t>í</w:t>
      </w:r>
      <w:r w:rsidRPr="00150FE3">
        <w:rPr>
          <w:b/>
          <w:lang w:val="es-ES"/>
        </w:rPr>
        <w:t>a</w:t>
      </w:r>
      <w:r w:rsidRPr="00150FE3">
        <w:rPr>
          <w:lang w:val="es-ES"/>
        </w:rPr>
        <w:t xml:space="preserve"> </w:t>
      </w:r>
      <w:r w:rsidRPr="003F1541">
        <w:rPr>
          <w:b/>
          <w:lang w:val="es-ES"/>
        </w:rPr>
        <w:t>(FEAGA),</w:t>
      </w:r>
      <w:r w:rsidRPr="00150FE3">
        <w:rPr>
          <w:lang w:val="es-ES"/>
        </w:rPr>
        <w:t xml:space="preserve"> que ofrece ayudas directas y financia medidas de mercado;</w:t>
      </w:r>
    </w:p>
    <w:p w14:paraId="1A384A58" w14:textId="77777777" w:rsidR="00150FE3" w:rsidRPr="00150FE3" w:rsidRDefault="00150FE3" w:rsidP="00150FE3">
      <w:pPr>
        <w:rPr>
          <w:lang w:val="es-ES"/>
        </w:rPr>
      </w:pPr>
    </w:p>
    <w:p w14:paraId="7C88C36B" w14:textId="77777777" w:rsidR="00150FE3" w:rsidRPr="00150FE3" w:rsidRDefault="00150FE3" w:rsidP="00150FE3">
      <w:pPr>
        <w:rPr>
          <w:lang w:val="es-ES"/>
        </w:rPr>
      </w:pPr>
      <w:r w:rsidRPr="00150FE3">
        <w:rPr>
          <w:lang w:val="es-ES"/>
        </w:rPr>
        <w:t xml:space="preserve">2.-el </w:t>
      </w:r>
      <w:r w:rsidRPr="00150FE3">
        <w:rPr>
          <w:b/>
          <w:lang w:val="es-ES"/>
        </w:rPr>
        <w:t>Fondo Europeo Agrícola de Desarrollo Rur</w:t>
      </w:r>
      <w:r w:rsidRPr="00150FE3">
        <w:rPr>
          <w:lang w:val="es-ES"/>
        </w:rPr>
        <w:t xml:space="preserve">al </w:t>
      </w:r>
      <w:r w:rsidR="003F1541" w:rsidRPr="003F1541">
        <w:rPr>
          <w:b/>
          <w:lang w:val="es-ES"/>
        </w:rPr>
        <w:t>(FEADER</w:t>
      </w:r>
      <w:r w:rsidRPr="003F1541">
        <w:rPr>
          <w:b/>
          <w:lang w:val="es-ES"/>
        </w:rPr>
        <w:t>),</w:t>
      </w:r>
      <w:r w:rsidRPr="00150FE3">
        <w:rPr>
          <w:lang w:val="es-ES"/>
        </w:rPr>
        <w:t xml:space="preserve"> que financia el desarrollo rural.</w:t>
      </w:r>
    </w:p>
    <w:p w14:paraId="25BDDB94" w14:textId="77777777" w:rsidR="00150FE3" w:rsidRPr="00150FE3" w:rsidRDefault="00150FE3" w:rsidP="00150FE3">
      <w:pPr>
        <w:rPr>
          <w:lang w:val="es-ES"/>
        </w:rPr>
      </w:pPr>
    </w:p>
    <w:p w14:paraId="7F9D9268" w14:textId="77777777" w:rsidR="00150FE3" w:rsidRPr="00150FE3" w:rsidRDefault="00150FE3" w:rsidP="00150FE3">
      <w:pPr>
        <w:rPr>
          <w:lang w:val="es-ES"/>
        </w:rPr>
      </w:pPr>
      <w:r w:rsidRPr="00150FE3">
        <w:rPr>
          <w:lang w:val="es-ES"/>
        </w:rPr>
        <w:t>Cada pa</w:t>
      </w:r>
      <w:r>
        <w:rPr>
          <w:lang w:val="es-ES"/>
        </w:rPr>
        <w:t>í</w:t>
      </w:r>
      <w:r w:rsidRPr="00150FE3">
        <w:rPr>
          <w:lang w:val="es-ES"/>
        </w:rPr>
        <w:t>s de la Uni</w:t>
      </w:r>
      <w:r>
        <w:rPr>
          <w:lang w:val="es-ES"/>
        </w:rPr>
        <w:t>ó</w:t>
      </w:r>
      <w:r w:rsidRPr="00150FE3">
        <w:rPr>
          <w:lang w:val="es-ES"/>
        </w:rPr>
        <w:t>n Europea gestiona los pagos de la PAC y publica los datos de los beneficiarios de acuerdo con la normativa de la UE sobre transparencia.</w:t>
      </w:r>
    </w:p>
    <w:p w14:paraId="5B069139" w14:textId="77777777" w:rsidR="00150FE3" w:rsidRPr="00150FE3" w:rsidRDefault="00150FE3" w:rsidP="00150FE3">
      <w:pPr>
        <w:rPr>
          <w:lang w:val="es-ES"/>
        </w:rPr>
      </w:pPr>
    </w:p>
    <w:p w14:paraId="25FE11D9" w14:textId="77777777" w:rsidR="003F1541" w:rsidRPr="003F1541" w:rsidRDefault="003F1541" w:rsidP="003F1541">
      <w:pPr>
        <w:pStyle w:val="Ttulo3"/>
        <w:shd w:val="clear" w:color="auto" w:fill="FFFFFF"/>
        <w:spacing w:before="480" w:after="336"/>
        <w:jc w:val="center"/>
        <w:rPr>
          <w:rFonts w:ascii="Verdana" w:hAnsi="Verdana"/>
          <w:color w:val="000000"/>
          <w:sz w:val="28"/>
          <w:szCs w:val="28"/>
          <w:lang w:val="es-ES"/>
        </w:rPr>
      </w:pPr>
      <w:r w:rsidRPr="003F1541">
        <w:rPr>
          <w:rFonts w:ascii="Verdana" w:hAnsi="Verdana"/>
          <w:color w:val="000000"/>
          <w:sz w:val="28"/>
          <w:szCs w:val="28"/>
          <w:lang w:val="es-ES"/>
        </w:rPr>
        <w:t>Evaluación de la OCD</w:t>
      </w:r>
      <w:r>
        <w:rPr>
          <w:rFonts w:ascii="Verdana" w:hAnsi="Verdana"/>
          <w:color w:val="000000"/>
          <w:sz w:val="28"/>
          <w:szCs w:val="28"/>
          <w:lang w:val="es-ES"/>
        </w:rPr>
        <w:t xml:space="preserve">E </w:t>
      </w:r>
      <w:r w:rsidR="000C4415">
        <w:rPr>
          <w:rFonts w:ascii="Verdana" w:hAnsi="Verdana"/>
          <w:color w:val="000000"/>
          <w:sz w:val="28"/>
          <w:szCs w:val="28"/>
          <w:lang w:val="es-ES"/>
        </w:rPr>
        <w:t xml:space="preserve">sobre la ejecución </w:t>
      </w:r>
      <w:r>
        <w:rPr>
          <w:rFonts w:ascii="Verdana" w:hAnsi="Verdana"/>
          <w:color w:val="000000"/>
          <w:sz w:val="28"/>
          <w:szCs w:val="28"/>
          <w:lang w:val="es-ES"/>
        </w:rPr>
        <w:t>del presupuesto de la PAC</w:t>
      </w:r>
      <w:r w:rsidRPr="003F1541">
        <w:rPr>
          <w:rFonts w:ascii="Verdana" w:hAnsi="Verdana"/>
          <w:color w:val="000000"/>
          <w:sz w:val="28"/>
          <w:szCs w:val="28"/>
          <w:lang w:val="es-ES"/>
        </w:rPr>
        <w:t xml:space="preserve"> </w:t>
      </w:r>
      <w:r>
        <w:rPr>
          <w:rFonts w:ascii="Verdana" w:hAnsi="Verdana"/>
          <w:color w:val="000000"/>
          <w:sz w:val="28"/>
          <w:szCs w:val="28"/>
          <w:lang w:val="es-ES"/>
        </w:rPr>
        <w:t xml:space="preserve"> </w:t>
      </w:r>
    </w:p>
    <w:p w14:paraId="1EFF7904" w14:textId="77777777" w:rsidR="003F1541" w:rsidRPr="005F691A" w:rsidRDefault="003F1541" w:rsidP="003F1541">
      <w:pPr>
        <w:pStyle w:val="spip"/>
        <w:shd w:val="clear" w:color="auto" w:fill="FFFFFF"/>
        <w:spacing w:line="252" w:lineRule="atLeast"/>
        <w:jc w:val="both"/>
        <w:rPr>
          <w:rFonts w:ascii="Georgia" w:hAnsi="Georgia"/>
          <w:color w:val="000000"/>
          <w:sz w:val="18"/>
          <w:szCs w:val="18"/>
          <w:lang w:val="es-ES"/>
        </w:rPr>
      </w:pPr>
      <w:r>
        <w:rPr>
          <w:rFonts w:ascii="Georgia" w:hAnsi="Georgia"/>
          <w:color w:val="000000"/>
          <w:sz w:val="18"/>
          <w:szCs w:val="18"/>
        </w:rPr>
        <w:t>(Fuente: </w:t>
      </w:r>
      <w:hyperlink r:id="rId8" w:history="1">
        <w:r>
          <w:rPr>
            <w:rStyle w:val="Hipervnculo"/>
            <w:rFonts w:ascii="Georgia" w:hAnsi="Georgia"/>
            <w:color w:val="5DA7C5"/>
            <w:sz w:val="18"/>
            <w:szCs w:val="18"/>
          </w:rPr>
          <w:t>Agricultural Policy Monitoring and Evaluation: The EU OECD 2020</w:t>
        </w:r>
      </w:hyperlink>
      <w:r>
        <w:rPr>
          <w:rFonts w:ascii="Georgia" w:hAnsi="Georgia"/>
          <w:color w:val="000000"/>
          <w:sz w:val="18"/>
          <w:szCs w:val="18"/>
        </w:rPr>
        <w:t> and </w:t>
      </w:r>
      <w:hyperlink r:id="rId9" w:history="1">
        <w:r>
          <w:rPr>
            <w:rStyle w:val="Hipervnculo"/>
            <w:rFonts w:ascii="Georgia" w:hAnsi="Georgia"/>
            <w:color w:val="5DA7C5"/>
            <w:sz w:val="18"/>
            <w:szCs w:val="18"/>
          </w:rPr>
          <w:t xml:space="preserve">Agricultural Policy Monitoring and Evaluation 2021. </w:t>
        </w:r>
        <w:r w:rsidRPr="003F1541">
          <w:rPr>
            <w:rStyle w:val="Hipervnculo"/>
            <w:rFonts w:ascii="Georgia" w:hAnsi="Georgia"/>
            <w:color w:val="5DA7C5"/>
            <w:sz w:val="18"/>
            <w:szCs w:val="18"/>
            <w:lang w:val="es-ES"/>
          </w:rPr>
          <w:t>OECD. 2021.</w:t>
        </w:r>
      </w:hyperlink>
    </w:p>
    <w:p w14:paraId="49D2575C" w14:textId="77777777" w:rsidR="003F1541" w:rsidRDefault="003F1541" w:rsidP="003F1541">
      <w:pPr>
        <w:pStyle w:val="spip"/>
        <w:shd w:val="clear" w:color="auto" w:fill="FFFFFF"/>
        <w:spacing w:line="252" w:lineRule="atLeast"/>
        <w:jc w:val="both"/>
        <w:rPr>
          <w:rFonts w:asciiTheme="majorHAnsi" w:eastAsiaTheme="majorEastAsia" w:hAnsiTheme="majorHAnsi" w:cstheme="majorBidi"/>
          <w:color w:val="2E74B5" w:themeColor="accent1" w:themeShade="BF"/>
          <w:sz w:val="32"/>
          <w:szCs w:val="32"/>
          <w:lang w:val="es-ES"/>
        </w:rPr>
      </w:pPr>
      <w:r w:rsidRPr="003F1541">
        <w:rPr>
          <w:rFonts w:asciiTheme="majorHAnsi" w:eastAsiaTheme="majorEastAsia" w:hAnsiTheme="majorHAnsi" w:cstheme="majorBidi"/>
          <w:color w:val="2E74B5" w:themeColor="accent1" w:themeShade="BF"/>
          <w:sz w:val="32"/>
          <w:szCs w:val="32"/>
          <w:lang w:val="es-ES"/>
        </w:rPr>
        <w:t>DESARROLLO RECIENTE DE LA PAC EN RESPUESTA A LA PANDEMIA COVID-19</w:t>
      </w:r>
      <w:r>
        <w:rPr>
          <w:rFonts w:asciiTheme="majorHAnsi" w:eastAsiaTheme="majorEastAsia" w:hAnsiTheme="majorHAnsi" w:cstheme="majorBidi"/>
          <w:color w:val="2E74B5" w:themeColor="accent1" w:themeShade="BF"/>
          <w:sz w:val="32"/>
          <w:szCs w:val="32"/>
          <w:lang w:val="es-ES"/>
        </w:rPr>
        <w:t xml:space="preserve"> </w:t>
      </w:r>
    </w:p>
    <w:p w14:paraId="256E3426" w14:textId="77777777" w:rsidR="003F1541" w:rsidRDefault="003F1541" w:rsidP="003F1541">
      <w:pPr>
        <w:pStyle w:val="spip"/>
        <w:shd w:val="clear" w:color="auto" w:fill="FFFFFF"/>
        <w:spacing w:line="252" w:lineRule="atLeast"/>
        <w:jc w:val="both"/>
        <w:rPr>
          <w:rFonts w:asciiTheme="minorHAnsi" w:eastAsiaTheme="minorHAnsi" w:hAnsiTheme="minorHAnsi" w:cstheme="minorBidi"/>
          <w:sz w:val="22"/>
          <w:szCs w:val="22"/>
          <w:lang w:val="es-ES"/>
        </w:rPr>
      </w:pPr>
      <w:r w:rsidRPr="003F1541">
        <w:rPr>
          <w:rFonts w:asciiTheme="minorHAnsi" w:eastAsiaTheme="minorHAnsi" w:hAnsiTheme="minorHAnsi" w:cstheme="minorBidi"/>
          <w:sz w:val="22"/>
          <w:szCs w:val="22"/>
          <w:lang w:val="es-ES"/>
        </w:rPr>
        <w:t xml:space="preserve">Gran parte de la actividad política en 2020 se centró en garantizar que los sectores alimentario y agrícola pudieran hacer frente a los impactos del COVID-19. Se implementó una serie de medidas en este frente a nivel de la UE, incluida la flexibilidad en el marco de la Política Agrícola Común (PAC), </w:t>
      </w:r>
      <w:r w:rsidRPr="003F1541">
        <w:rPr>
          <w:rFonts w:asciiTheme="minorHAnsi" w:eastAsiaTheme="minorHAnsi" w:hAnsiTheme="minorHAnsi" w:cstheme="minorBidi"/>
          <w:b/>
          <w:sz w:val="22"/>
          <w:szCs w:val="22"/>
          <w:lang w:val="es-ES"/>
        </w:rPr>
        <w:t>medidas de mercado excepcionales y apoyo directo a los agricultores y las zonas rurales.</w:t>
      </w:r>
      <w:r>
        <w:rPr>
          <w:rFonts w:asciiTheme="minorHAnsi" w:eastAsiaTheme="minorHAnsi" w:hAnsiTheme="minorHAnsi" w:cstheme="minorBidi"/>
          <w:sz w:val="22"/>
          <w:szCs w:val="22"/>
          <w:lang w:val="es-ES"/>
        </w:rPr>
        <w:t xml:space="preserve"> </w:t>
      </w:r>
    </w:p>
    <w:p w14:paraId="0FD35379" w14:textId="77777777" w:rsidR="003F1541" w:rsidRDefault="003F1541" w:rsidP="003F1541">
      <w:pPr>
        <w:pStyle w:val="spip"/>
        <w:shd w:val="clear" w:color="auto" w:fill="FFFFFF"/>
        <w:spacing w:line="252" w:lineRule="atLeast"/>
        <w:jc w:val="both"/>
        <w:rPr>
          <w:rFonts w:asciiTheme="minorHAnsi" w:eastAsiaTheme="minorHAnsi" w:hAnsiTheme="minorHAnsi" w:cstheme="minorBidi"/>
          <w:sz w:val="22"/>
          <w:szCs w:val="22"/>
          <w:lang w:val="es-ES"/>
        </w:rPr>
      </w:pPr>
      <w:r>
        <w:rPr>
          <w:rFonts w:asciiTheme="minorHAnsi" w:eastAsiaTheme="minorHAnsi" w:hAnsiTheme="minorHAnsi" w:cstheme="minorBidi"/>
          <w:sz w:val="22"/>
          <w:szCs w:val="22"/>
          <w:lang w:val="es-ES"/>
        </w:rPr>
        <w:t>Además, l</w:t>
      </w:r>
      <w:r w:rsidRPr="003F1541">
        <w:rPr>
          <w:rFonts w:asciiTheme="minorHAnsi" w:eastAsiaTheme="minorHAnsi" w:hAnsiTheme="minorHAnsi" w:cstheme="minorBidi"/>
          <w:sz w:val="22"/>
          <w:szCs w:val="22"/>
          <w:lang w:val="es-ES"/>
        </w:rPr>
        <w:t>as medidas de oferta del mercado laboral intentan asegurar la llegada de los trabajadores críticos para la tarea estacional y el trabajo agrícola (ver Mano de obra</w:t>
      </w:r>
      <w:r>
        <w:rPr>
          <w:rStyle w:val="Refdenotaalpie"/>
          <w:rFonts w:asciiTheme="minorHAnsi" w:eastAsiaTheme="minorHAnsi" w:hAnsiTheme="minorHAnsi" w:cstheme="minorBidi"/>
          <w:sz w:val="22"/>
          <w:szCs w:val="22"/>
          <w:lang w:val="es-ES"/>
        </w:rPr>
        <w:footnoteReference w:id="2"/>
      </w:r>
      <w:r w:rsidRPr="003F1541">
        <w:rPr>
          <w:rFonts w:asciiTheme="minorHAnsi" w:eastAsiaTheme="minorHAnsi" w:hAnsiTheme="minorHAnsi" w:cstheme="minorBidi"/>
          <w:sz w:val="22"/>
          <w:szCs w:val="22"/>
          <w:lang w:val="es-ES"/>
        </w:rPr>
        <w:t>)</w:t>
      </w:r>
      <w:r>
        <w:rPr>
          <w:rFonts w:asciiTheme="minorHAnsi" w:eastAsiaTheme="minorHAnsi" w:hAnsiTheme="minorHAnsi" w:cstheme="minorBidi"/>
          <w:sz w:val="22"/>
          <w:szCs w:val="22"/>
          <w:lang w:val="es-ES"/>
        </w:rPr>
        <w:t>.</w:t>
      </w:r>
    </w:p>
    <w:p w14:paraId="39360F3E" w14:textId="77777777" w:rsidR="003F1541" w:rsidRDefault="003F1541" w:rsidP="003F1541">
      <w:pPr>
        <w:pStyle w:val="spip"/>
        <w:shd w:val="clear" w:color="auto" w:fill="FFFFFF"/>
        <w:spacing w:line="252" w:lineRule="atLeast"/>
        <w:jc w:val="both"/>
        <w:rPr>
          <w:rFonts w:asciiTheme="minorHAnsi" w:eastAsiaTheme="minorHAnsi" w:hAnsiTheme="minorHAnsi" w:cstheme="minorBidi"/>
          <w:sz w:val="22"/>
          <w:szCs w:val="22"/>
          <w:lang w:val="es-ES"/>
        </w:rPr>
      </w:pPr>
      <w:r w:rsidRPr="003F1541">
        <w:rPr>
          <w:rFonts w:asciiTheme="minorHAnsi" w:eastAsiaTheme="minorHAnsi" w:hAnsiTheme="minorHAnsi" w:cstheme="minorBidi"/>
          <w:sz w:val="22"/>
          <w:szCs w:val="22"/>
          <w:lang w:val="es-ES"/>
        </w:rPr>
        <w:t>A nivel nacional, se introdujeron varias iniciativas dirigidas al funcionamiento de las cadenas de suministro de alimentos</w:t>
      </w:r>
      <w:r>
        <w:rPr>
          <w:rStyle w:val="Refdenotaalpie"/>
          <w:rFonts w:asciiTheme="minorHAnsi" w:eastAsiaTheme="minorHAnsi" w:hAnsiTheme="minorHAnsi" w:cstheme="minorBidi"/>
          <w:sz w:val="22"/>
          <w:szCs w:val="22"/>
          <w:lang w:val="es-ES"/>
        </w:rPr>
        <w:footnoteReference w:id="3"/>
      </w:r>
      <w:r w:rsidRPr="003F1541">
        <w:rPr>
          <w:rFonts w:asciiTheme="minorHAnsi" w:eastAsiaTheme="minorHAnsi" w:hAnsiTheme="minorHAnsi" w:cstheme="minorBidi"/>
          <w:sz w:val="22"/>
          <w:szCs w:val="22"/>
          <w:lang w:val="es-ES"/>
        </w:rPr>
        <w:t>.</w:t>
      </w:r>
      <w:r>
        <w:rPr>
          <w:rFonts w:asciiTheme="minorHAnsi" w:eastAsiaTheme="minorHAnsi" w:hAnsiTheme="minorHAnsi" w:cstheme="minorBidi"/>
          <w:sz w:val="22"/>
          <w:szCs w:val="22"/>
          <w:lang w:val="es-ES"/>
        </w:rPr>
        <w:t xml:space="preserve"> </w:t>
      </w:r>
    </w:p>
    <w:p w14:paraId="69F37F88" w14:textId="77777777" w:rsidR="003F1541" w:rsidRDefault="003F1541" w:rsidP="003F1541">
      <w:pPr>
        <w:pStyle w:val="spip"/>
        <w:shd w:val="clear" w:color="auto" w:fill="FFFFFF"/>
        <w:spacing w:line="252" w:lineRule="atLeast"/>
        <w:jc w:val="both"/>
        <w:rPr>
          <w:rFonts w:asciiTheme="minorHAnsi" w:eastAsiaTheme="minorHAnsi" w:hAnsiTheme="minorHAnsi" w:cstheme="minorBidi"/>
          <w:sz w:val="22"/>
          <w:szCs w:val="22"/>
          <w:lang w:val="es-ES"/>
        </w:rPr>
      </w:pPr>
      <w:r w:rsidRPr="003F1541">
        <w:rPr>
          <w:rFonts w:asciiTheme="minorHAnsi" w:eastAsiaTheme="minorHAnsi" w:hAnsiTheme="minorHAnsi" w:cstheme="minorBidi"/>
          <w:sz w:val="22"/>
          <w:szCs w:val="22"/>
          <w:lang w:val="es-ES"/>
        </w:rPr>
        <w:t>En este marco, los Estados miembros respondieron con sus propios paquetes de políticas, dirigidos a los sectores más afectados. En particular, el gasto en iniciativas de ayudas estatales en el marco del marco temporal de ayudas estatales se disparó en 2020 y principios de 2021, con 22 países que implementaron paquetes de ayuda específicos por sector por un total de casi 6.200 millones de euros (7.100 millones de dólares estadounidenses), lo que equivale a más del 11% del gasto de</w:t>
      </w:r>
      <w:r>
        <w:rPr>
          <w:rFonts w:asciiTheme="minorHAnsi" w:eastAsiaTheme="minorHAnsi" w:hAnsiTheme="minorHAnsi" w:cstheme="minorBidi"/>
          <w:sz w:val="22"/>
          <w:szCs w:val="22"/>
          <w:lang w:val="es-ES"/>
        </w:rPr>
        <w:t xml:space="preserve"> la PAC</w:t>
      </w:r>
      <w:r w:rsidRPr="003F1541">
        <w:rPr>
          <w:rFonts w:asciiTheme="minorHAnsi" w:eastAsiaTheme="minorHAnsi" w:hAnsiTheme="minorHAnsi" w:cstheme="minorBidi"/>
          <w:sz w:val="22"/>
          <w:szCs w:val="22"/>
          <w:lang w:val="es-ES"/>
        </w:rPr>
        <w:t xml:space="preserve"> en 2020.</w:t>
      </w:r>
    </w:p>
    <w:p w14:paraId="3D708595" w14:textId="77777777" w:rsidR="003F1541" w:rsidRDefault="003F1541" w:rsidP="003F1541">
      <w:pPr>
        <w:pStyle w:val="spip"/>
        <w:shd w:val="clear" w:color="auto" w:fill="FFFFFF"/>
        <w:spacing w:line="252" w:lineRule="atLeast"/>
        <w:jc w:val="both"/>
        <w:rPr>
          <w:rFonts w:asciiTheme="minorHAnsi" w:eastAsiaTheme="minorHAnsi" w:hAnsiTheme="minorHAnsi" w:cstheme="minorBidi"/>
          <w:sz w:val="22"/>
          <w:szCs w:val="22"/>
          <w:lang w:val="es-ES"/>
        </w:rPr>
      </w:pPr>
      <w:r w:rsidRPr="003F1541">
        <w:rPr>
          <w:rFonts w:asciiTheme="minorHAnsi" w:eastAsiaTheme="minorHAnsi" w:hAnsiTheme="minorHAnsi" w:cstheme="minorBidi"/>
          <w:sz w:val="22"/>
          <w:szCs w:val="22"/>
          <w:lang w:val="es-ES"/>
        </w:rPr>
        <w:t xml:space="preserve">La Unión Europea también lanzó el </w:t>
      </w:r>
      <w:r w:rsidRPr="003F1541">
        <w:rPr>
          <w:rFonts w:asciiTheme="minorHAnsi" w:eastAsiaTheme="minorHAnsi" w:hAnsiTheme="minorHAnsi" w:cstheme="minorBidi"/>
          <w:b/>
          <w:sz w:val="22"/>
          <w:szCs w:val="22"/>
          <w:lang w:val="es-ES"/>
        </w:rPr>
        <w:t>Plan de Recuperación para Europa</w:t>
      </w:r>
      <w:r w:rsidRPr="003F1541">
        <w:rPr>
          <w:rFonts w:asciiTheme="minorHAnsi" w:eastAsiaTheme="minorHAnsi" w:hAnsiTheme="minorHAnsi" w:cstheme="minorBidi"/>
          <w:sz w:val="22"/>
          <w:szCs w:val="22"/>
          <w:lang w:val="es-ES"/>
        </w:rPr>
        <w:t>, una iniciativa de recuperación a largo plazo de la emergencia COVID-19. En particular, la iniciativa de la próxima generación de la UE en el marco de este plan financiará algunas actividades del sector agrícola para ayudar a los Estados miembros a recuperarse, reparar y salir fortalecidos de la crisis.</w:t>
      </w:r>
    </w:p>
    <w:p w14:paraId="20C184AA" w14:textId="77777777" w:rsidR="003F1541" w:rsidRPr="003F1541" w:rsidRDefault="003F1541" w:rsidP="003F1541">
      <w:pPr>
        <w:pStyle w:val="spip"/>
        <w:shd w:val="clear" w:color="auto" w:fill="FFFFFF"/>
        <w:spacing w:line="252" w:lineRule="atLeast"/>
        <w:jc w:val="both"/>
        <w:rPr>
          <w:rFonts w:asciiTheme="minorHAnsi" w:eastAsiaTheme="minorHAnsi" w:hAnsiTheme="minorHAnsi" w:cstheme="minorBidi"/>
          <w:sz w:val="22"/>
          <w:szCs w:val="22"/>
          <w:lang w:val="es-ES"/>
        </w:rPr>
      </w:pPr>
      <w:r w:rsidRPr="003F1541">
        <w:rPr>
          <w:rFonts w:asciiTheme="minorHAnsi" w:eastAsiaTheme="minorHAnsi" w:hAnsiTheme="minorHAnsi" w:cstheme="minorBidi"/>
          <w:sz w:val="22"/>
          <w:szCs w:val="22"/>
          <w:lang w:val="es-ES"/>
        </w:rPr>
        <w:t>Otras iniciativas políticas se lanzaron o estuvieron más cerca de completarse en 2020. En particular, el 27 de noviembre, el Parlamento Europeo y el Consejo acordaron normas transitorias para la PAC en 2021-22 (basadas en el principio de continuidad de la PAC actual) mientras contin</w:t>
      </w:r>
      <w:r w:rsidR="000C4415">
        <w:rPr>
          <w:rFonts w:asciiTheme="minorHAnsi" w:eastAsiaTheme="minorHAnsi" w:hAnsiTheme="minorHAnsi" w:cstheme="minorBidi"/>
          <w:sz w:val="22"/>
          <w:szCs w:val="22"/>
          <w:lang w:val="es-ES"/>
        </w:rPr>
        <w:t>uab</w:t>
      </w:r>
      <w:r w:rsidRPr="003F1541">
        <w:rPr>
          <w:rFonts w:asciiTheme="minorHAnsi" w:eastAsiaTheme="minorHAnsi" w:hAnsiTheme="minorHAnsi" w:cstheme="minorBidi"/>
          <w:sz w:val="22"/>
          <w:szCs w:val="22"/>
          <w:lang w:val="es-ES"/>
        </w:rPr>
        <w:t>an las negociaciones sobre la reforma de la PAC.</w:t>
      </w:r>
    </w:p>
    <w:p w14:paraId="3B0B37F0" w14:textId="77777777" w:rsidR="003F1541" w:rsidRPr="003F1541" w:rsidRDefault="003F1541" w:rsidP="003F1541">
      <w:pPr>
        <w:pStyle w:val="Ttulo1"/>
        <w:rPr>
          <w:rFonts w:asciiTheme="minorHAnsi" w:eastAsiaTheme="minorHAnsi" w:hAnsiTheme="minorHAnsi" w:cstheme="minorBidi"/>
          <w:color w:val="auto"/>
          <w:sz w:val="22"/>
          <w:szCs w:val="22"/>
          <w:lang w:val="es-ES"/>
        </w:rPr>
      </w:pPr>
      <w:r w:rsidRPr="003F1541">
        <w:rPr>
          <w:rFonts w:asciiTheme="minorHAnsi" w:eastAsiaTheme="minorHAnsi" w:hAnsiTheme="minorHAnsi" w:cstheme="minorBidi"/>
          <w:color w:val="auto"/>
          <w:sz w:val="22"/>
          <w:szCs w:val="22"/>
          <w:lang w:val="es-ES"/>
        </w:rPr>
        <w:lastRenderedPageBreak/>
        <w:t xml:space="preserve">Además, en mayo, la Comisión Europea dio a conocer más detalles sobre las iniciativas propuestas del </w:t>
      </w:r>
      <w:r w:rsidRPr="003F1541">
        <w:rPr>
          <w:rFonts w:asciiTheme="minorHAnsi" w:eastAsiaTheme="minorHAnsi" w:hAnsiTheme="minorHAnsi" w:cstheme="minorBidi"/>
          <w:b/>
          <w:i/>
          <w:color w:val="auto"/>
          <w:sz w:val="22"/>
          <w:szCs w:val="22"/>
          <w:lang w:val="es-ES"/>
        </w:rPr>
        <w:t>Green Deal</w:t>
      </w:r>
      <w:r w:rsidRPr="003F1541">
        <w:rPr>
          <w:rFonts w:asciiTheme="minorHAnsi" w:eastAsiaTheme="minorHAnsi" w:hAnsiTheme="minorHAnsi" w:cstheme="minorBidi"/>
          <w:color w:val="auto"/>
          <w:sz w:val="22"/>
          <w:szCs w:val="22"/>
          <w:lang w:val="es-ES"/>
        </w:rPr>
        <w:t xml:space="preserve"> más relevantes para el sector agrícola. Específicamente, las </w:t>
      </w:r>
      <w:r w:rsidRPr="003F1541">
        <w:rPr>
          <w:rFonts w:asciiTheme="minorHAnsi" w:eastAsiaTheme="minorHAnsi" w:hAnsiTheme="minorHAnsi" w:cstheme="minorBidi"/>
          <w:b/>
          <w:color w:val="auto"/>
          <w:sz w:val="22"/>
          <w:szCs w:val="22"/>
          <w:lang w:val="es-ES"/>
        </w:rPr>
        <w:t xml:space="preserve">estrategias de la granja a la mesa </w:t>
      </w:r>
      <w:r w:rsidRPr="000C4415">
        <w:rPr>
          <w:rFonts w:asciiTheme="minorHAnsi" w:eastAsiaTheme="minorHAnsi" w:hAnsiTheme="minorHAnsi" w:cstheme="minorBidi"/>
          <w:color w:val="auto"/>
          <w:sz w:val="22"/>
          <w:szCs w:val="22"/>
          <w:lang w:val="es-ES"/>
        </w:rPr>
        <w:t>y la</w:t>
      </w:r>
      <w:r w:rsidR="000C4415">
        <w:rPr>
          <w:rFonts w:asciiTheme="minorHAnsi" w:eastAsiaTheme="minorHAnsi" w:hAnsiTheme="minorHAnsi" w:cstheme="minorBidi"/>
          <w:b/>
          <w:color w:val="auto"/>
          <w:sz w:val="22"/>
          <w:szCs w:val="22"/>
          <w:lang w:val="es-ES"/>
        </w:rPr>
        <w:t xml:space="preserve"> </w:t>
      </w:r>
      <w:r w:rsidR="000C4415" w:rsidRPr="000C4415">
        <w:rPr>
          <w:rFonts w:asciiTheme="minorHAnsi" w:eastAsiaTheme="minorHAnsi" w:hAnsiTheme="minorHAnsi" w:cstheme="minorBidi"/>
          <w:color w:val="auto"/>
          <w:sz w:val="22"/>
          <w:szCs w:val="22"/>
          <w:lang w:val="es-ES"/>
        </w:rPr>
        <w:t>de</w:t>
      </w:r>
      <w:r w:rsidRPr="003F1541">
        <w:rPr>
          <w:rFonts w:asciiTheme="minorHAnsi" w:eastAsiaTheme="minorHAnsi" w:hAnsiTheme="minorHAnsi" w:cstheme="minorBidi"/>
          <w:b/>
          <w:color w:val="auto"/>
          <w:sz w:val="22"/>
          <w:szCs w:val="22"/>
          <w:lang w:val="es-ES"/>
        </w:rPr>
        <w:t xml:space="preserve"> biodiversidad</w:t>
      </w:r>
      <w:r w:rsidRPr="003F1541">
        <w:rPr>
          <w:rFonts w:asciiTheme="minorHAnsi" w:eastAsiaTheme="minorHAnsi" w:hAnsiTheme="minorHAnsi" w:cstheme="minorBidi"/>
          <w:color w:val="auto"/>
          <w:sz w:val="22"/>
          <w:szCs w:val="22"/>
          <w:lang w:val="es-ES"/>
        </w:rPr>
        <w:t xml:space="preserve"> buscan detener la pérdida de biodiversidad en Europa, transformar los sistemas alimentarios de la UE en estándares globales para la sostenibilidad competitiva, proteger la salud humana y planetaria y salvaguardar los medios de vida de todos los actores de la cadena de valor alimentaria.</w:t>
      </w:r>
    </w:p>
    <w:p w14:paraId="386DC549" w14:textId="77777777" w:rsidR="003F1541" w:rsidRPr="003F1541" w:rsidRDefault="003F1541" w:rsidP="003F1541">
      <w:pPr>
        <w:pStyle w:val="Ttulo1"/>
        <w:rPr>
          <w:rFonts w:asciiTheme="minorHAnsi" w:eastAsiaTheme="minorHAnsi" w:hAnsiTheme="minorHAnsi" w:cstheme="minorBidi"/>
          <w:color w:val="auto"/>
          <w:sz w:val="22"/>
          <w:szCs w:val="22"/>
          <w:lang w:val="es-ES"/>
        </w:rPr>
      </w:pPr>
    </w:p>
    <w:p w14:paraId="663645DA" w14:textId="77777777" w:rsidR="003F1541" w:rsidRPr="003F1541" w:rsidRDefault="003F1541" w:rsidP="003F1541">
      <w:pPr>
        <w:pStyle w:val="Ttulo1"/>
        <w:rPr>
          <w:rFonts w:asciiTheme="minorHAnsi" w:eastAsiaTheme="minorHAnsi" w:hAnsiTheme="minorHAnsi" w:cstheme="minorBidi"/>
          <w:color w:val="auto"/>
          <w:sz w:val="22"/>
          <w:szCs w:val="22"/>
          <w:lang w:val="es-ES"/>
        </w:rPr>
      </w:pPr>
      <w:r w:rsidRPr="003F1541">
        <w:rPr>
          <w:rFonts w:asciiTheme="minorHAnsi" w:eastAsiaTheme="minorHAnsi" w:hAnsiTheme="minorHAnsi" w:cstheme="minorBidi"/>
          <w:color w:val="auto"/>
          <w:sz w:val="22"/>
          <w:szCs w:val="22"/>
          <w:lang w:val="es-ES"/>
        </w:rPr>
        <w:t>En este marco, los Estados miembros respondieron con sus propios paquetes de políticas, dirigidos a los sectores más afectados. En particular, el gasto en iniciativas de ayudas estatales en el marco del marco temporal de ayudas estatales se disparó en 2020 y principios de 2021, con 22 países que implementaron paquetes de ayuda sectorial por un total de casi 6.200 millones de euros (7.100 millones de dólares estadounidenses), lo que equivale a más del 11% del gasto de la PAC. en 2020.</w:t>
      </w:r>
    </w:p>
    <w:p w14:paraId="4B22AF36" w14:textId="77777777" w:rsidR="003F1541" w:rsidRPr="003F1541" w:rsidRDefault="003F1541" w:rsidP="003F1541">
      <w:pPr>
        <w:pStyle w:val="Ttulo1"/>
        <w:rPr>
          <w:rFonts w:asciiTheme="minorHAnsi" w:eastAsiaTheme="minorHAnsi" w:hAnsiTheme="minorHAnsi" w:cstheme="minorBidi"/>
          <w:color w:val="auto"/>
          <w:sz w:val="22"/>
          <w:szCs w:val="22"/>
          <w:lang w:val="es-ES"/>
        </w:rPr>
      </w:pPr>
      <w:r w:rsidRPr="003F1541">
        <w:rPr>
          <w:rFonts w:asciiTheme="minorHAnsi" w:eastAsiaTheme="minorHAnsi" w:hAnsiTheme="minorHAnsi" w:cstheme="minorBidi"/>
          <w:color w:val="auto"/>
          <w:sz w:val="22"/>
          <w:szCs w:val="22"/>
          <w:lang w:val="es-ES"/>
        </w:rPr>
        <w:t xml:space="preserve">La Unión Europea también lanzó el </w:t>
      </w:r>
      <w:r w:rsidRPr="000C4415">
        <w:rPr>
          <w:rFonts w:asciiTheme="minorHAnsi" w:eastAsiaTheme="minorHAnsi" w:hAnsiTheme="minorHAnsi" w:cstheme="minorBidi"/>
          <w:b/>
          <w:color w:val="auto"/>
          <w:sz w:val="22"/>
          <w:szCs w:val="22"/>
          <w:lang w:val="es-ES"/>
        </w:rPr>
        <w:t>Plan de Recuperación para Europa</w:t>
      </w:r>
      <w:r w:rsidRPr="003F1541">
        <w:rPr>
          <w:rFonts w:asciiTheme="minorHAnsi" w:eastAsiaTheme="minorHAnsi" w:hAnsiTheme="minorHAnsi" w:cstheme="minorBidi"/>
          <w:color w:val="auto"/>
          <w:sz w:val="22"/>
          <w:szCs w:val="22"/>
          <w:lang w:val="es-ES"/>
        </w:rPr>
        <w:t xml:space="preserve">, una iniciativa de recuperación a largo plazo de la emergencia COVID-19. En particular, la iniciativa de la </w:t>
      </w:r>
      <w:r w:rsidR="000C4415">
        <w:rPr>
          <w:rFonts w:asciiTheme="minorHAnsi" w:eastAsiaTheme="minorHAnsi" w:hAnsiTheme="minorHAnsi" w:cstheme="minorBidi"/>
          <w:color w:val="auto"/>
          <w:sz w:val="22"/>
          <w:szCs w:val="22"/>
          <w:lang w:val="es-ES"/>
        </w:rPr>
        <w:t>P</w:t>
      </w:r>
      <w:r w:rsidRPr="003F1541">
        <w:rPr>
          <w:rFonts w:asciiTheme="minorHAnsi" w:eastAsiaTheme="minorHAnsi" w:hAnsiTheme="minorHAnsi" w:cstheme="minorBidi"/>
          <w:color w:val="auto"/>
          <w:sz w:val="22"/>
          <w:szCs w:val="22"/>
          <w:lang w:val="es-ES"/>
        </w:rPr>
        <w:t xml:space="preserve">róxima </w:t>
      </w:r>
      <w:r w:rsidR="000C4415">
        <w:rPr>
          <w:rFonts w:asciiTheme="minorHAnsi" w:eastAsiaTheme="minorHAnsi" w:hAnsiTheme="minorHAnsi" w:cstheme="minorBidi"/>
          <w:color w:val="auto"/>
          <w:sz w:val="22"/>
          <w:szCs w:val="22"/>
          <w:lang w:val="es-ES"/>
        </w:rPr>
        <w:t>G</w:t>
      </w:r>
      <w:r w:rsidRPr="003F1541">
        <w:rPr>
          <w:rFonts w:asciiTheme="minorHAnsi" w:eastAsiaTheme="minorHAnsi" w:hAnsiTheme="minorHAnsi" w:cstheme="minorBidi"/>
          <w:color w:val="auto"/>
          <w:sz w:val="22"/>
          <w:szCs w:val="22"/>
          <w:lang w:val="es-ES"/>
        </w:rPr>
        <w:t xml:space="preserve">eneración de la UE </w:t>
      </w:r>
      <w:r w:rsidR="000C4415">
        <w:rPr>
          <w:rFonts w:asciiTheme="minorHAnsi" w:eastAsiaTheme="minorHAnsi" w:hAnsiTheme="minorHAnsi" w:cstheme="minorBidi"/>
          <w:color w:val="auto"/>
          <w:sz w:val="22"/>
          <w:szCs w:val="22"/>
          <w:lang w:val="es-ES"/>
        </w:rPr>
        <w:t>(</w:t>
      </w:r>
      <w:r w:rsidR="000C4415">
        <w:rPr>
          <w:rFonts w:asciiTheme="minorHAnsi" w:eastAsiaTheme="minorHAnsi" w:hAnsiTheme="minorHAnsi" w:cstheme="minorBidi"/>
          <w:i/>
          <w:color w:val="auto"/>
          <w:sz w:val="22"/>
          <w:szCs w:val="22"/>
          <w:lang w:val="es-ES"/>
        </w:rPr>
        <w:t>NextGenerationEU</w:t>
      </w:r>
      <w:r w:rsidR="000C4415">
        <w:rPr>
          <w:rFonts w:asciiTheme="minorHAnsi" w:eastAsiaTheme="minorHAnsi" w:hAnsiTheme="minorHAnsi" w:cstheme="minorBidi"/>
          <w:color w:val="auto"/>
          <w:sz w:val="22"/>
          <w:szCs w:val="22"/>
          <w:lang w:val="es-ES"/>
        </w:rPr>
        <w:t xml:space="preserve">) </w:t>
      </w:r>
      <w:r w:rsidRPr="003F1541">
        <w:rPr>
          <w:rFonts w:asciiTheme="minorHAnsi" w:eastAsiaTheme="minorHAnsi" w:hAnsiTheme="minorHAnsi" w:cstheme="minorBidi"/>
          <w:color w:val="auto"/>
          <w:sz w:val="22"/>
          <w:szCs w:val="22"/>
          <w:lang w:val="es-ES"/>
        </w:rPr>
        <w:t>en el marco de este plan financiará algunas actividades del sector agrícola para ayudar a los Estados miembros a recuperarse y salir fortalecidos de la crisis.</w:t>
      </w:r>
    </w:p>
    <w:p w14:paraId="0CA87D7E" w14:textId="77777777" w:rsidR="003F1541" w:rsidRDefault="003F1541" w:rsidP="003F1541">
      <w:pPr>
        <w:pStyle w:val="Ttulo1"/>
        <w:rPr>
          <w:rFonts w:asciiTheme="minorHAnsi" w:eastAsiaTheme="minorHAnsi" w:hAnsiTheme="minorHAnsi" w:cstheme="minorBidi"/>
          <w:color w:val="auto"/>
          <w:sz w:val="22"/>
          <w:szCs w:val="22"/>
          <w:lang w:val="es-ES"/>
        </w:rPr>
      </w:pPr>
      <w:r w:rsidRPr="003F1541">
        <w:rPr>
          <w:rFonts w:asciiTheme="minorHAnsi" w:eastAsiaTheme="minorHAnsi" w:hAnsiTheme="minorHAnsi" w:cstheme="minorBidi"/>
          <w:color w:val="auto"/>
          <w:sz w:val="22"/>
          <w:szCs w:val="22"/>
          <w:lang w:val="es-ES"/>
        </w:rPr>
        <w:t xml:space="preserve">Además, en mayo, la Comisión Europea dio a conocer más detalles sobre las iniciativas propuestas del </w:t>
      </w:r>
      <w:r w:rsidRPr="000C4415">
        <w:rPr>
          <w:rFonts w:asciiTheme="minorHAnsi" w:eastAsiaTheme="minorHAnsi" w:hAnsiTheme="minorHAnsi" w:cstheme="minorBidi"/>
          <w:b/>
          <w:i/>
          <w:color w:val="auto"/>
          <w:sz w:val="22"/>
          <w:szCs w:val="22"/>
          <w:lang w:val="es-ES"/>
        </w:rPr>
        <w:t>Green Deal</w:t>
      </w:r>
      <w:r w:rsidRPr="003F1541">
        <w:rPr>
          <w:rFonts w:asciiTheme="minorHAnsi" w:eastAsiaTheme="minorHAnsi" w:hAnsiTheme="minorHAnsi" w:cstheme="minorBidi"/>
          <w:color w:val="auto"/>
          <w:sz w:val="22"/>
          <w:szCs w:val="22"/>
          <w:lang w:val="es-ES"/>
        </w:rPr>
        <w:t xml:space="preserve"> más relevantes para el sector agrícola. Específicamente, las estrategias </w:t>
      </w:r>
      <w:r w:rsidRPr="000C4415">
        <w:rPr>
          <w:rFonts w:asciiTheme="minorHAnsi" w:eastAsiaTheme="minorHAnsi" w:hAnsiTheme="minorHAnsi" w:cstheme="minorBidi"/>
          <w:b/>
          <w:color w:val="auto"/>
          <w:sz w:val="22"/>
          <w:szCs w:val="22"/>
          <w:lang w:val="es-ES"/>
        </w:rPr>
        <w:t>de la granja a la mesa</w:t>
      </w:r>
      <w:r w:rsidRPr="003F1541">
        <w:rPr>
          <w:rFonts w:asciiTheme="minorHAnsi" w:eastAsiaTheme="minorHAnsi" w:hAnsiTheme="minorHAnsi" w:cstheme="minorBidi"/>
          <w:color w:val="auto"/>
          <w:sz w:val="22"/>
          <w:szCs w:val="22"/>
          <w:lang w:val="es-ES"/>
        </w:rPr>
        <w:t xml:space="preserve"> y la</w:t>
      </w:r>
      <w:r w:rsidR="000C4415">
        <w:rPr>
          <w:rFonts w:asciiTheme="minorHAnsi" w:eastAsiaTheme="minorHAnsi" w:hAnsiTheme="minorHAnsi" w:cstheme="minorBidi"/>
          <w:color w:val="auto"/>
          <w:sz w:val="22"/>
          <w:szCs w:val="22"/>
          <w:lang w:val="es-ES"/>
        </w:rPr>
        <w:t xml:space="preserve"> de</w:t>
      </w:r>
      <w:r w:rsidRPr="003F1541">
        <w:rPr>
          <w:rFonts w:asciiTheme="minorHAnsi" w:eastAsiaTheme="minorHAnsi" w:hAnsiTheme="minorHAnsi" w:cstheme="minorBidi"/>
          <w:color w:val="auto"/>
          <w:sz w:val="22"/>
          <w:szCs w:val="22"/>
          <w:lang w:val="es-ES"/>
        </w:rPr>
        <w:t xml:space="preserve"> </w:t>
      </w:r>
      <w:r w:rsidRPr="000C4415">
        <w:rPr>
          <w:rFonts w:asciiTheme="minorHAnsi" w:eastAsiaTheme="minorHAnsi" w:hAnsiTheme="minorHAnsi" w:cstheme="minorBidi"/>
          <w:b/>
          <w:color w:val="auto"/>
          <w:sz w:val="22"/>
          <w:szCs w:val="22"/>
          <w:lang w:val="es-ES"/>
        </w:rPr>
        <w:t xml:space="preserve">biodiversidad </w:t>
      </w:r>
      <w:r w:rsidRPr="003F1541">
        <w:rPr>
          <w:rFonts w:asciiTheme="minorHAnsi" w:eastAsiaTheme="minorHAnsi" w:hAnsiTheme="minorHAnsi" w:cstheme="minorBidi"/>
          <w:color w:val="auto"/>
          <w:sz w:val="22"/>
          <w:szCs w:val="22"/>
          <w:lang w:val="es-ES"/>
        </w:rPr>
        <w:t xml:space="preserve">buscan </w:t>
      </w:r>
      <w:r w:rsidRPr="000C4415">
        <w:rPr>
          <w:rFonts w:asciiTheme="minorHAnsi" w:eastAsiaTheme="minorHAnsi" w:hAnsiTheme="minorHAnsi" w:cstheme="minorBidi"/>
          <w:b/>
          <w:color w:val="auto"/>
          <w:sz w:val="22"/>
          <w:szCs w:val="22"/>
          <w:lang w:val="es-ES"/>
        </w:rPr>
        <w:t>detener la pérdida de biodiversidad en Europa</w:t>
      </w:r>
      <w:r w:rsidRPr="003F1541">
        <w:rPr>
          <w:rFonts w:asciiTheme="minorHAnsi" w:eastAsiaTheme="minorHAnsi" w:hAnsiTheme="minorHAnsi" w:cstheme="minorBidi"/>
          <w:color w:val="auto"/>
          <w:sz w:val="22"/>
          <w:szCs w:val="22"/>
          <w:lang w:val="es-ES"/>
        </w:rPr>
        <w:t xml:space="preserve">, transformar los sistemas alimentarios de la UE en </w:t>
      </w:r>
      <w:r w:rsidRPr="000C4415">
        <w:rPr>
          <w:rFonts w:asciiTheme="minorHAnsi" w:eastAsiaTheme="minorHAnsi" w:hAnsiTheme="minorHAnsi" w:cstheme="minorBidi"/>
          <w:b/>
          <w:color w:val="auto"/>
          <w:sz w:val="22"/>
          <w:szCs w:val="22"/>
          <w:lang w:val="es-ES"/>
        </w:rPr>
        <w:t>estándares globales para la sostenibilidad competitiva</w:t>
      </w:r>
      <w:r w:rsidRPr="003F1541">
        <w:rPr>
          <w:rFonts w:asciiTheme="minorHAnsi" w:eastAsiaTheme="minorHAnsi" w:hAnsiTheme="minorHAnsi" w:cstheme="minorBidi"/>
          <w:color w:val="auto"/>
          <w:sz w:val="22"/>
          <w:szCs w:val="22"/>
          <w:lang w:val="es-ES"/>
        </w:rPr>
        <w:t>, proteger la salud humana y salvaguardar los medios de vida de todos los actores de la cadena de valor alimentaria.</w:t>
      </w:r>
    </w:p>
    <w:p w14:paraId="36E2FA34" w14:textId="77777777" w:rsidR="000C4415" w:rsidRPr="000C4415" w:rsidRDefault="000C4415" w:rsidP="000C4415">
      <w:pPr>
        <w:rPr>
          <w:lang w:val="es-ES"/>
        </w:rPr>
      </w:pPr>
    </w:p>
    <w:p w14:paraId="3CA575E8" w14:textId="77777777" w:rsidR="000C4415" w:rsidRPr="005F691A" w:rsidRDefault="000C4415" w:rsidP="000C4415">
      <w:pPr>
        <w:pStyle w:val="Ttulo3"/>
        <w:rPr>
          <w:lang w:val="es-ES"/>
        </w:rPr>
      </w:pPr>
      <w:r w:rsidRPr="005F691A">
        <w:rPr>
          <w:lang w:val="es-ES"/>
        </w:rPr>
        <w:t>La estrategia de la granja a la mesa</w:t>
      </w:r>
    </w:p>
    <w:p w14:paraId="32A91707" w14:textId="77777777" w:rsidR="003F1541" w:rsidRPr="003F1541" w:rsidRDefault="003F1541" w:rsidP="003F1541">
      <w:pPr>
        <w:pStyle w:val="Ttulo1"/>
        <w:rPr>
          <w:rFonts w:asciiTheme="minorHAnsi" w:eastAsiaTheme="minorHAnsi" w:hAnsiTheme="minorHAnsi" w:cstheme="minorBidi"/>
          <w:color w:val="auto"/>
          <w:sz w:val="22"/>
          <w:szCs w:val="22"/>
          <w:lang w:val="es-ES"/>
        </w:rPr>
      </w:pPr>
      <w:r w:rsidRPr="003F1541">
        <w:rPr>
          <w:rFonts w:asciiTheme="minorHAnsi" w:eastAsiaTheme="minorHAnsi" w:hAnsiTheme="minorHAnsi" w:cstheme="minorBidi"/>
          <w:color w:val="auto"/>
          <w:sz w:val="22"/>
          <w:szCs w:val="22"/>
          <w:lang w:val="es-ES"/>
        </w:rPr>
        <w:t>La estrategia de la granja a la mesa esboza un plan de acción de 27 puntos que cubre cuatro dominios de políticas principales:</w:t>
      </w:r>
    </w:p>
    <w:p w14:paraId="1BE547E7" w14:textId="77777777" w:rsidR="003F1541" w:rsidRPr="003F1541" w:rsidRDefault="003F1541" w:rsidP="003F1541">
      <w:pPr>
        <w:pStyle w:val="Ttulo1"/>
        <w:rPr>
          <w:rFonts w:asciiTheme="minorHAnsi" w:eastAsiaTheme="minorHAnsi" w:hAnsiTheme="minorHAnsi" w:cstheme="minorBidi"/>
          <w:color w:val="auto"/>
          <w:sz w:val="22"/>
          <w:szCs w:val="22"/>
          <w:lang w:val="es-ES"/>
        </w:rPr>
      </w:pPr>
      <w:r w:rsidRPr="003F1541">
        <w:rPr>
          <w:rFonts w:asciiTheme="minorHAnsi" w:eastAsiaTheme="minorHAnsi" w:hAnsiTheme="minorHAnsi" w:cstheme="minorBidi"/>
          <w:color w:val="auto"/>
          <w:sz w:val="22"/>
          <w:szCs w:val="22"/>
          <w:lang w:val="es-ES"/>
        </w:rPr>
        <w:t xml:space="preserve">(1) asegurar una </w:t>
      </w:r>
      <w:r w:rsidRPr="000C4415">
        <w:rPr>
          <w:rFonts w:asciiTheme="minorHAnsi" w:eastAsiaTheme="minorHAnsi" w:hAnsiTheme="minorHAnsi" w:cstheme="minorBidi"/>
          <w:b/>
          <w:color w:val="auto"/>
          <w:sz w:val="22"/>
          <w:szCs w:val="22"/>
          <w:lang w:val="es-ES"/>
        </w:rPr>
        <w:t>producción sostenible</w:t>
      </w:r>
      <w:r w:rsidR="000C4415">
        <w:rPr>
          <w:rFonts w:asciiTheme="minorHAnsi" w:eastAsiaTheme="minorHAnsi" w:hAnsiTheme="minorHAnsi" w:cstheme="minorBidi"/>
          <w:b/>
          <w:color w:val="auto"/>
          <w:sz w:val="22"/>
          <w:szCs w:val="22"/>
          <w:lang w:val="es-ES"/>
        </w:rPr>
        <w:t xml:space="preserve"> de alimentos</w:t>
      </w:r>
      <w:r w:rsidRPr="003F1541">
        <w:rPr>
          <w:rFonts w:asciiTheme="minorHAnsi" w:eastAsiaTheme="minorHAnsi" w:hAnsiTheme="minorHAnsi" w:cstheme="minorBidi"/>
          <w:color w:val="auto"/>
          <w:sz w:val="22"/>
          <w:szCs w:val="22"/>
          <w:lang w:val="es-ES"/>
        </w:rPr>
        <w:t>;</w:t>
      </w:r>
    </w:p>
    <w:p w14:paraId="46043306" w14:textId="77777777" w:rsidR="003F1541" w:rsidRPr="003F1541" w:rsidRDefault="003F1541" w:rsidP="003F1541">
      <w:pPr>
        <w:pStyle w:val="Ttulo1"/>
        <w:rPr>
          <w:rFonts w:asciiTheme="minorHAnsi" w:eastAsiaTheme="minorHAnsi" w:hAnsiTheme="minorHAnsi" w:cstheme="minorBidi"/>
          <w:color w:val="auto"/>
          <w:sz w:val="22"/>
          <w:szCs w:val="22"/>
          <w:lang w:val="es-ES"/>
        </w:rPr>
      </w:pPr>
      <w:r w:rsidRPr="003F1541">
        <w:rPr>
          <w:rFonts w:asciiTheme="minorHAnsi" w:eastAsiaTheme="minorHAnsi" w:hAnsiTheme="minorHAnsi" w:cstheme="minorBidi"/>
          <w:color w:val="auto"/>
          <w:sz w:val="22"/>
          <w:szCs w:val="22"/>
          <w:lang w:val="es-ES"/>
        </w:rPr>
        <w:t xml:space="preserve">(2) estimular el </w:t>
      </w:r>
      <w:r w:rsidRPr="000C4415">
        <w:rPr>
          <w:rFonts w:asciiTheme="minorHAnsi" w:eastAsiaTheme="minorHAnsi" w:hAnsiTheme="minorHAnsi" w:cstheme="minorBidi"/>
          <w:b/>
          <w:color w:val="auto"/>
          <w:sz w:val="22"/>
          <w:szCs w:val="22"/>
          <w:lang w:val="es-ES"/>
        </w:rPr>
        <w:t>procesamiento sostenible</w:t>
      </w:r>
      <w:r w:rsidRPr="003F1541">
        <w:rPr>
          <w:rFonts w:asciiTheme="minorHAnsi" w:eastAsiaTheme="minorHAnsi" w:hAnsiTheme="minorHAnsi" w:cstheme="minorBidi"/>
          <w:color w:val="auto"/>
          <w:sz w:val="22"/>
          <w:szCs w:val="22"/>
          <w:lang w:val="es-ES"/>
        </w:rPr>
        <w:t xml:space="preserve"> de alimentos y </w:t>
      </w:r>
      <w:r w:rsidR="000C4415" w:rsidRPr="000C4415">
        <w:rPr>
          <w:rFonts w:asciiTheme="minorHAnsi" w:eastAsiaTheme="minorHAnsi" w:hAnsiTheme="minorHAnsi" w:cstheme="minorBidi"/>
          <w:b/>
          <w:color w:val="auto"/>
          <w:sz w:val="22"/>
          <w:szCs w:val="22"/>
          <w:lang w:val="es-ES"/>
        </w:rPr>
        <w:t>comercialización</w:t>
      </w:r>
      <w:r w:rsidRPr="000C4415">
        <w:rPr>
          <w:rFonts w:asciiTheme="minorHAnsi" w:eastAsiaTheme="minorHAnsi" w:hAnsiTheme="minorHAnsi" w:cstheme="minorBidi"/>
          <w:b/>
          <w:color w:val="auto"/>
          <w:sz w:val="22"/>
          <w:szCs w:val="22"/>
          <w:lang w:val="es-ES"/>
        </w:rPr>
        <w:t xml:space="preserve"> de alimentos</w:t>
      </w:r>
      <w:r w:rsidRPr="003F1541">
        <w:rPr>
          <w:rFonts w:asciiTheme="minorHAnsi" w:eastAsiaTheme="minorHAnsi" w:hAnsiTheme="minorHAnsi" w:cstheme="minorBidi"/>
          <w:color w:val="auto"/>
          <w:sz w:val="22"/>
          <w:szCs w:val="22"/>
          <w:lang w:val="es-ES"/>
        </w:rPr>
        <w:t>;</w:t>
      </w:r>
      <w:r w:rsidR="000C4415">
        <w:rPr>
          <w:rFonts w:asciiTheme="minorHAnsi" w:eastAsiaTheme="minorHAnsi" w:hAnsiTheme="minorHAnsi" w:cstheme="minorBidi"/>
          <w:color w:val="auto"/>
          <w:sz w:val="22"/>
          <w:szCs w:val="22"/>
          <w:lang w:val="es-ES"/>
        </w:rPr>
        <w:t xml:space="preserve"> incluyendo la regulación de </w:t>
      </w:r>
      <w:r w:rsidR="000C4415" w:rsidRPr="003F1541">
        <w:rPr>
          <w:rFonts w:asciiTheme="minorHAnsi" w:eastAsiaTheme="minorHAnsi" w:hAnsiTheme="minorHAnsi" w:cstheme="minorBidi"/>
          <w:color w:val="auto"/>
          <w:sz w:val="22"/>
          <w:szCs w:val="22"/>
          <w:lang w:val="es-ES"/>
        </w:rPr>
        <w:t xml:space="preserve">las prácticas </w:t>
      </w:r>
      <w:r w:rsidR="000C4415">
        <w:rPr>
          <w:rFonts w:asciiTheme="minorHAnsi" w:eastAsiaTheme="minorHAnsi" w:hAnsiTheme="minorHAnsi" w:cstheme="minorBidi"/>
          <w:color w:val="auto"/>
          <w:sz w:val="22"/>
          <w:szCs w:val="22"/>
          <w:lang w:val="es-ES"/>
        </w:rPr>
        <w:t xml:space="preserve">competitivas </w:t>
      </w:r>
      <w:r w:rsidR="000C4415" w:rsidRPr="003F1541">
        <w:rPr>
          <w:rFonts w:asciiTheme="minorHAnsi" w:eastAsiaTheme="minorHAnsi" w:hAnsiTheme="minorHAnsi" w:cstheme="minorBidi"/>
          <w:color w:val="auto"/>
          <w:sz w:val="22"/>
          <w:szCs w:val="22"/>
          <w:lang w:val="es-ES"/>
        </w:rPr>
        <w:t>de venta al por mayor, al por menor</w:t>
      </w:r>
      <w:r w:rsidR="000C4415">
        <w:rPr>
          <w:rFonts w:asciiTheme="minorHAnsi" w:eastAsiaTheme="minorHAnsi" w:hAnsiTheme="minorHAnsi" w:cstheme="minorBidi"/>
          <w:color w:val="auto"/>
          <w:sz w:val="22"/>
          <w:szCs w:val="22"/>
          <w:lang w:val="es-ES"/>
        </w:rPr>
        <w:t xml:space="preserve"> y en la</w:t>
      </w:r>
      <w:r w:rsidR="000C4415" w:rsidRPr="003F1541">
        <w:rPr>
          <w:rFonts w:asciiTheme="minorHAnsi" w:eastAsiaTheme="minorHAnsi" w:hAnsiTheme="minorHAnsi" w:cstheme="minorBidi"/>
          <w:color w:val="auto"/>
          <w:sz w:val="22"/>
          <w:szCs w:val="22"/>
          <w:lang w:val="es-ES"/>
        </w:rPr>
        <w:t xml:space="preserve"> ho</w:t>
      </w:r>
      <w:r w:rsidR="000C4415">
        <w:rPr>
          <w:rFonts w:asciiTheme="minorHAnsi" w:eastAsiaTheme="minorHAnsi" w:hAnsiTheme="minorHAnsi" w:cstheme="minorBidi"/>
          <w:color w:val="auto"/>
          <w:sz w:val="22"/>
          <w:szCs w:val="22"/>
          <w:lang w:val="es-ES"/>
        </w:rPr>
        <w:t>s</w:t>
      </w:r>
      <w:r w:rsidR="000C4415" w:rsidRPr="003F1541">
        <w:rPr>
          <w:rFonts w:asciiTheme="minorHAnsi" w:eastAsiaTheme="minorHAnsi" w:hAnsiTheme="minorHAnsi" w:cstheme="minorBidi"/>
          <w:color w:val="auto"/>
          <w:sz w:val="22"/>
          <w:szCs w:val="22"/>
          <w:lang w:val="es-ES"/>
        </w:rPr>
        <w:t>telería</w:t>
      </w:r>
      <w:r w:rsidR="000C4415">
        <w:rPr>
          <w:rFonts w:asciiTheme="minorHAnsi" w:eastAsiaTheme="minorHAnsi" w:hAnsiTheme="minorHAnsi" w:cstheme="minorBidi"/>
          <w:color w:val="auto"/>
          <w:sz w:val="22"/>
          <w:szCs w:val="22"/>
          <w:lang w:val="es-ES"/>
        </w:rPr>
        <w:t>.</w:t>
      </w:r>
    </w:p>
    <w:p w14:paraId="2A26394F" w14:textId="77777777" w:rsidR="003F1541" w:rsidRDefault="003F1541" w:rsidP="003F1541">
      <w:pPr>
        <w:pStyle w:val="Ttulo1"/>
        <w:rPr>
          <w:rFonts w:asciiTheme="minorHAnsi" w:eastAsiaTheme="minorHAnsi" w:hAnsiTheme="minorHAnsi" w:cstheme="minorBidi"/>
          <w:color w:val="auto"/>
          <w:sz w:val="22"/>
          <w:szCs w:val="22"/>
          <w:lang w:val="es-ES"/>
        </w:rPr>
      </w:pPr>
      <w:r w:rsidRPr="003F1541">
        <w:rPr>
          <w:rFonts w:asciiTheme="minorHAnsi" w:eastAsiaTheme="minorHAnsi" w:hAnsiTheme="minorHAnsi" w:cstheme="minorBidi"/>
          <w:color w:val="auto"/>
          <w:sz w:val="22"/>
          <w:szCs w:val="22"/>
          <w:lang w:val="es-ES"/>
        </w:rPr>
        <w:t xml:space="preserve">(3) promover el </w:t>
      </w:r>
      <w:r w:rsidRPr="000C4415">
        <w:rPr>
          <w:rFonts w:asciiTheme="minorHAnsi" w:eastAsiaTheme="minorHAnsi" w:hAnsiTheme="minorHAnsi" w:cstheme="minorBidi"/>
          <w:b/>
          <w:color w:val="auto"/>
          <w:sz w:val="22"/>
          <w:szCs w:val="22"/>
          <w:lang w:val="es-ES"/>
        </w:rPr>
        <w:t xml:space="preserve">consumo </w:t>
      </w:r>
      <w:r w:rsidR="000C4415" w:rsidRPr="000C4415">
        <w:rPr>
          <w:rFonts w:asciiTheme="minorHAnsi" w:eastAsiaTheme="minorHAnsi" w:hAnsiTheme="minorHAnsi" w:cstheme="minorBidi"/>
          <w:b/>
          <w:color w:val="auto"/>
          <w:sz w:val="22"/>
          <w:szCs w:val="22"/>
          <w:lang w:val="es-ES"/>
        </w:rPr>
        <w:t>sostenible</w:t>
      </w:r>
      <w:r w:rsidR="000C4415" w:rsidRPr="003F1541">
        <w:rPr>
          <w:rFonts w:asciiTheme="minorHAnsi" w:eastAsiaTheme="minorHAnsi" w:hAnsiTheme="minorHAnsi" w:cstheme="minorBidi"/>
          <w:color w:val="auto"/>
          <w:sz w:val="22"/>
          <w:szCs w:val="22"/>
          <w:lang w:val="es-ES"/>
        </w:rPr>
        <w:t xml:space="preserve"> </w:t>
      </w:r>
      <w:r w:rsidRPr="003F1541">
        <w:rPr>
          <w:rFonts w:asciiTheme="minorHAnsi" w:eastAsiaTheme="minorHAnsi" w:hAnsiTheme="minorHAnsi" w:cstheme="minorBidi"/>
          <w:color w:val="auto"/>
          <w:sz w:val="22"/>
          <w:szCs w:val="22"/>
          <w:lang w:val="es-ES"/>
        </w:rPr>
        <w:t xml:space="preserve">de alimentos y facilitar el cambio hacia </w:t>
      </w:r>
      <w:r w:rsidRPr="000C4415">
        <w:rPr>
          <w:rFonts w:asciiTheme="minorHAnsi" w:eastAsiaTheme="minorHAnsi" w:hAnsiTheme="minorHAnsi" w:cstheme="minorBidi"/>
          <w:b/>
          <w:color w:val="auto"/>
          <w:sz w:val="22"/>
          <w:szCs w:val="22"/>
          <w:lang w:val="es-ES"/>
        </w:rPr>
        <w:t>dietas saludables</w:t>
      </w:r>
      <w:r w:rsidRPr="003F1541">
        <w:rPr>
          <w:rFonts w:asciiTheme="minorHAnsi" w:eastAsiaTheme="minorHAnsi" w:hAnsiTheme="minorHAnsi" w:cstheme="minorBidi"/>
          <w:color w:val="auto"/>
          <w:sz w:val="22"/>
          <w:szCs w:val="22"/>
          <w:lang w:val="es-ES"/>
        </w:rPr>
        <w:t xml:space="preserve"> y sostenibles; y</w:t>
      </w:r>
    </w:p>
    <w:p w14:paraId="17715428" w14:textId="77777777" w:rsidR="000C4415" w:rsidRDefault="000C4415" w:rsidP="000C4415">
      <w:pPr>
        <w:rPr>
          <w:lang w:val="es-ES"/>
        </w:rPr>
      </w:pPr>
    </w:p>
    <w:p w14:paraId="71B64ECE" w14:textId="77777777" w:rsidR="000C4415" w:rsidRDefault="000C4415" w:rsidP="000C4415">
      <w:pPr>
        <w:pStyle w:val="Ttulo1"/>
        <w:rPr>
          <w:rFonts w:asciiTheme="minorHAnsi" w:eastAsiaTheme="minorHAnsi" w:hAnsiTheme="minorHAnsi" w:cstheme="minorBidi"/>
          <w:color w:val="auto"/>
          <w:sz w:val="22"/>
          <w:szCs w:val="22"/>
          <w:lang w:val="es-ES"/>
        </w:rPr>
      </w:pPr>
      <w:r w:rsidRPr="003F1541">
        <w:rPr>
          <w:rFonts w:asciiTheme="minorHAnsi" w:eastAsiaTheme="minorHAnsi" w:hAnsiTheme="minorHAnsi" w:cstheme="minorBidi"/>
          <w:color w:val="auto"/>
          <w:sz w:val="22"/>
          <w:szCs w:val="22"/>
          <w:lang w:val="es-ES"/>
        </w:rPr>
        <w:lastRenderedPageBreak/>
        <w:t>(4</w:t>
      </w:r>
      <w:r w:rsidRPr="000C4415">
        <w:rPr>
          <w:rFonts w:asciiTheme="minorHAnsi" w:eastAsiaTheme="minorHAnsi" w:hAnsiTheme="minorHAnsi" w:cstheme="minorBidi"/>
          <w:b/>
          <w:color w:val="auto"/>
          <w:sz w:val="22"/>
          <w:szCs w:val="22"/>
          <w:lang w:val="es-ES"/>
        </w:rPr>
        <w:t>) reducir la pérdida y el desperdicio de alimentos</w:t>
      </w:r>
      <w:r w:rsidRPr="003F1541">
        <w:rPr>
          <w:rFonts w:asciiTheme="minorHAnsi" w:eastAsiaTheme="minorHAnsi" w:hAnsiTheme="minorHAnsi" w:cstheme="minorBidi"/>
          <w:color w:val="auto"/>
          <w:sz w:val="22"/>
          <w:szCs w:val="22"/>
          <w:lang w:val="es-ES"/>
        </w:rPr>
        <w:t xml:space="preserve">. La estrategia incluye varios objetivos específicos de la agricultura, incluida la </w:t>
      </w:r>
    </w:p>
    <w:p w14:paraId="79FA3197" w14:textId="77777777" w:rsidR="000C4415" w:rsidRPr="000C4415" w:rsidRDefault="000C4415" w:rsidP="000C4415">
      <w:pPr>
        <w:pStyle w:val="Ttulo1"/>
        <w:numPr>
          <w:ilvl w:val="0"/>
          <w:numId w:val="5"/>
        </w:numPr>
        <w:rPr>
          <w:rFonts w:asciiTheme="minorHAnsi" w:eastAsiaTheme="minorHAnsi" w:hAnsiTheme="minorHAnsi" w:cstheme="minorBidi"/>
          <w:b/>
          <w:color w:val="auto"/>
          <w:sz w:val="22"/>
          <w:szCs w:val="22"/>
          <w:lang w:val="es-ES"/>
        </w:rPr>
      </w:pPr>
      <w:r w:rsidRPr="000C4415">
        <w:rPr>
          <w:rFonts w:asciiTheme="minorHAnsi" w:eastAsiaTheme="minorHAnsi" w:hAnsiTheme="minorHAnsi" w:cstheme="minorBidi"/>
          <w:b/>
          <w:color w:val="auto"/>
          <w:sz w:val="22"/>
          <w:szCs w:val="22"/>
          <w:lang w:val="es-ES"/>
        </w:rPr>
        <w:t>reducción del uso de pesticidas químicos en un 50%,</w:t>
      </w:r>
      <w:r w:rsidRPr="003F1541">
        <w:rPr>
          <w:rFonts w:asciiTheme="minorHAnsi" w:eastAsiaTheme="minorHAnsi" w:hAnsiTheme="minorHAnsi" w:cstheme="minorBidi"/>
          <w:color w:val="auto"/>
          <w:sz w:val="22"/>
          <w:szCs w:val="22"/>
          <w:lang w:val="es-ES"/>
        </w:rPr>
        <w:t xml:space="preserve"> </w:t>
      </w:r>
    </w:p>
    <w:p w14:paraId="0E4D5855" w14:textId="77777777" w:rsidR="000C4415" w:rsidRPr="000C4415" w:rsidRDefault="000C4415" w:rsidP="000C4415">
      <w:pPr>
        <w:pStyle w:val="Ttulo1"/>
        <w:numPr>
          <w:ilvl w:val="0"/>
          <w:numId w:val="5"/>
        </w:numPr>
        <w:rPr>
          <w:rFonts w:asciiTheme="minorHAnsi" w:eastAsiaTheme="minorHAnsi" w:hAnsiTheme="minorHAnsi" w:cstheme="minorBidi"/>
          <w:b/>
          <w:color w:val="auto"/>
          <w:sz w:val="22"/>
          <w:szCs w:val="22"/>
          <w:lang w:val="es-ES"/>
        </w:rPr>
      </w:pPr>
      <w:r w:rsidRPr="003F1541">
        <w:rPr>
          <w:rFonts w:asciiTheme="minorHAnsi" w:eastAsiaTheme="minorHAnsi" w:hAnsiTheme="minorHAnsi" w:cstheme="minorBidi"/>
          <w:color w:val="auto"/>
          <w:sz w:val="22"/>
          <w:szCs w:val="22"/>
          <w:lang w:val="es-ES"/>
        </w:rPr>
        <w:t xml:space="preserve">la </w:t>
      </w:r>
      <w:r w:rsidRPr="000C4415">
        <w:rPr>
          <w:rFonts w:asciiTheme="minorHAnsi" w:eastAsiaTheme="minorHAnsi" w:hAnsiTheme="minorHAnsi" w:cstheme="minorBidi"/>
          <w:b/>
          <w:color w:val="auto"/>
          <w:sz w:val="22"/>
          <w:szCs w:val="22"/>
          <w:lang w:val="es-ES"/>
        </w:rPr>
        <w:t>reducción de la pérdida de nutrientes en al menos un 50%</w:t>
      </w:r>
      <w:r w:rsidRPr="003F1541">
        <w:rPr>
          <w:rFonts w:asciiTheme="minorHAnsi" w:eastAsiaTheme="minorHAnsi" w:hAnsiTheme="minorHAnsi" w:cstheme="minorBidi"/>
          <w:color w:val="auto"/>
          <w:sz w:val="22"/>
          <w:szCs w:val="22"/>
          <w:lang w:val="es-ES"/>
        </w:rPr>
        <w:t xml:space="preserve"> y </w:t>
      </w:r>
    </w:p>
    <w:p w14:paraId="48426CB3" w14:textId="77777777" w:rsidR="000C4415" w:rsidRDefault="000C4415" w:rsidP="000C4415">
      <w:pPr>
        <w:pStyle w:val="Ttulo1"/>
        <w:numPr>
          <w:ilvl w:val="0"/>
          <w:numId w:val="5"/>
        </w:numPr>
        <w:rPr>
          <w:rFonts w:asciiTheme="minorHAnsi" w:eastAsiaTheme="minorHAnsi" w:hAnsiTheme="minorHAnsi" w:cstheme="minorBidi"/>
          <w:b/>
          <w:color w:val="auto"/>
          <w:sz w:val="22"/>
          <w:szCs w:val="22"/>
          <w:lang w:val="es-ES"/>
        </w:rPr>
      </w:pPr>
      <w:r w:rsidRPr="003F1541">
        <w:rPr>
          <w:rFonts w:asciiTheme="minorHAnsi" w:eastAsiaTheme="minorHAnsi" w:hAnsiTheme="minorHAnsi" w:cstheme="minorBidi"/>
          <w:color w:val="auto"/>
          <w:sz w:val="22"/>
          <w:szCs w:val="22"/>
          <w:lang w:val="es-ES"/>
        </w:rPr>
        <w:t xml:space="preserve">el aumento de la proporción de tierras agrícolas bajo </w:t>
      </w:r>
      <w:r w:rsidRPr="000C4415">
        <w:rPr>
          <w:rFonts w:asciiTheme="minorHAnsi" w:eastAsiaTheme="minorHAnsi" w:hAnsiTheme="minorHAnsi" w:cstheme="minorBidi"/>
          <w:b/>
          <w:color w:val="auto"/>
          <w:sz w:val="22"/>
          <w:szCs w:val="22"/>
          <w:lang w:val="es-ES"/>
        </w:rPr>
        <w:t>agricultura orgánica al menos en un 25%.</w:t>
      </w:r>
    </w:p>
    <w:p w14:paraId="3750F53B" w14:textId="77777777" w:rsidR="000C4415" w:rsidRDefault="000C4415" w:rsidP="000C4415">
      <w:pPr>
        <w:rPr>
          <w:lang w:val="es-ES"/>
        </w:rPr>
      </w:pPr>
    </w:p>
    <w:p w14:paraId="37DCA8FB" w14:textId="77777777" w:rsidR="000C4415" w:rsidRPr="005F691A" w:rsidRDefault="000C4415" w:rsidP="000C4415">
      <w:pPr>
        <w:pStyle w:val="Ttulo3"/>
        <w:rPr>
          <w:lang w:val="es-ES"/>
        </w:rPr>
      </w:pPr>
      <w:r w:rsidRPr="005F691A">
        <w:rPr>
          <w:lang w:val="es-ES"/>
        </w:rPr>
        <w:t>La Estrategia de Biodiversidad</w:t>
      </w:r>
    </w:p>
    <w:p w14:paraId="274B8924" w14:textId="77777777" w:rsidR="003F1541" w:rsidRPr="000C4415" w:rsidRDefault="003F1541" w:rsidP="003F1541">
      <w:pPr>
        <w:pStyle w:val="Ttulo1"/>
        <w:rPr>
          <w:rFonts w:asciiTheme="minorHAnsi" w:eastAsiaTheme="minorHAnsi" w:hAnsiTheme="minorHAnsi" w:cstheme="minorBidi"/>
          <w:b/>
          <w:color w:val="auto"/>
          <w:sz w:val="22"/>
          <w:szCs w:val="22"/>
          <w:lang w:val="es-ES"/>
        </w:rPr>
      </w:pPr>
      <w:r w:rsidRPr="003F1541">
        <w:rPr>
          <w:rFonts w:asciiTheme="minorHAnsi" w:eastAsiaTheme="minorHAnsi" w:hAnsiTheme="minorHAnsi" w:cstheme="minorBidi"/>
          <w:color w:val="auto"/>
          <w:sz w:val="22"/>
          <w:szCs w:val="22"/>
          <w:lang w:val="es-ES"/>
        </w:rPr>
        <w:t xml:space="preserve">La Estrategia de Biodiversidad es un plan a largo plazo para </w:t>
      </w:r>
      <w:r w:rsidRPr="000C4415">
        <w:rPr>
          <w:rFonts w:asciiTheme="minorHAnsi" w:eastAsiaTheme="minorHAnsi" w:hAnsiTheme="minorHAnsi" w:cstheme="minorBidi"/>
          <w:b/>
          <w:color w:val="auto"/>
          <w:sz w:val="22"/>
          <w:szCs w:val="22"/>
          <w:lang w:val="es-ES"/>
        </w:rPr>
        <w:t>proteger la naturaleza</w:t>
      </w:r>
      <w:r w:rsidRPr="003F1541">
        <w:rPr>
          <w:rFonts w:asciiTheme="minorHAnsi" w:eastAsiaTheme="minorHAnsi" w:hAnsiTheme="minorHAnsi" w:cstheme="minorBidi"/>
          <w:color w:val="auto"/>
          <w:sz w:val="22"/>
          <w:szCs w:val="22"/>
          <w:lang w:val="es-ES"/>
        </w:rPr>
        <w:t xml:space="preserve">, </w:t>
      </w:r>
      <w:r w:rsidRPr="000C4415">
        <w:rPr>
          <w:rFonts w:asciiTheme="minorHAnsi" w:eastAsiaTheme="minorHAnsi" w:hAnsiTheme="minorHAnsi" w:cstheme="minorBidi"/>
          <w:b/>
          <w:color w:val="auto"/>
          <w:sz w:val="22"/>
          <w:szCs w:val="22"/>
          <w:lang w:val="es-ES"/>
        </w:rPr>
        <w:t xml:space="preserve">revertir </w:t>
      </w:r>
      <w:r w:rsidR="000C4415" w:rsidRPr="000C4415">
        <w:rPr>
          <w:rFonts w:asciiTheme="minorHAnsi" w:eastAsiaTheme="minorHAnsi" w:hAnsiTheme="minorHAnsi" w:cstheme="minorBidi"/>
          <w:b/>
          <w:color w:val="auto"/>
          <w:sz w:val="22"/>
          <w:szCs w:val="22"/>
          <w:lang w:val="es-ES"/>
        </w:rPr>
        <w:t>los ecosistemas</w:t>
      </w:r>
      <w:r w:rsidR="000C4415" w:rsidRPr="003F1541">
        <w:rPr>
          <w:rFonts w:asciiTheme="minorHAnsi" w:eastAsiaTheme="minorHAnsi" w:hAnsiTheme="minorHAnsi" w:cstheme="minorBidi"/>
          <w:color w:val="auto"/>
          <w:sz w:val="22"/>
          <w:szCs w:val="22"/>
          <w:lang w:val="es-ES"/>
        </w:rPr>
        <w:t xml:space="preserve"> </w:t>
      </w:r>
      <w:r w:rsidRPr="000C4415">
        <w:rPr>
          <w:rFonts w:asciiTheme="minorHAnsi" w:eastAsiaTheme="minorHAnsi" w:hAnsiTheme="minorHAnsi" w:cstheme="minorBidi"/>
          <w:b/>
          <w:color w:val="auto"/>
          <w:sz w:val="22"/>
          <w:szCs w:val="22"/>
          <w:lang w:val="es-ES"/>
        </w:rPr>
        <w:t>degrada</w:t>
      </w:r>
      <w:r w:rsidR="000C4415">
        <w:rPr>
          <w:rFonts w:asciiTheme="minorHAnsi" w:eastAsiaTheme="minorHAnsi" w:hAnsiTheme="minorHAnsi" w:cstheme="minorBidi"/>
          <w:b/>
          <w:color w:val="auto"/>
          <w:sz w:val="22"/>
          <w:szCs w:val="22"/>
          <w:lang w:val="es-ES"/>
        </w:rPr>
        <w:t>dos</w:t>
      </w:r>
      <w:r w:rsidRPr="000C4415">
        <w:rPr>
          <w:rFonts w:asciiTheme="minorHAnsi" w:eastAsiaTheme="minorHAnsi" w:hAnsiTheme="minorHAnsi" w:cstheme="minorBidi"/>
          <w:b/>
          <w:color w:val="auto"/>
          <w:sz w:val="22"/>
          <w:szCs w:val="22"/>
          <w:lang w:val="es-ES"/>
        </w:rPr>
        <w:t xml:space="preserve"> </w:t>
      </w:r>
      <w:r w:rsidRPr="003F1541">
        <w:rPr>
          <w:rFonts w:asciiTheme="minorHAnsi" w:eastAsiaTheme="minorHAnsi" w:hAnsiTheme="minorHAnsi" w:cstheme="minorBidi"/>
          <w:color w:val="auto"/>
          <w:sz w:val="22"/>
          <w:szCs w:val="22"/>
          <w:lang w:val="es-ES"/>
        </w:rPr>
        <w:t xml:space="preserve">y desarrollar la </w:t>
      </w:r>
      <w:r w:rsidRPr="000C4415">
        <w:rPr>
          <w:rFonts w:asciiTheme="minorHAnsi" w:eastAsiaTheme="minorHAnsi" w:hAnsiTheme="minorHAnsi" w:cstheme="minorBidi"/>
          <w:b/>
          <w:color w:val="auto"/>
          <w:sz w:val="22"/>
          <w:szCs w:val="22"/>
          <w:lang w:val="es-ES"/>
        </w:rPr>
        <w:t>resiliencia</w:t>
      </w:r>
      <w:r w:rsidRPr="003F1541">
        <w:rPr>
          <w:rFonts w:asciiTheme="minorHAnsi" w:eastAsiaTheme="minorHAnsi" w:hAnsiTheme="minorHAnsi" w:cstheme="minorBidi"/>
          <w:color w:val="auto"/>
          <w:sz w:val="22"/>
          <w:szCs w:val="22"/>
          <w:lang w:val="es-ES"/>
        </w:rPr>
        <w:t xml:space="preserve"> ante amenazas futuras. También contiene objetivos específicos para la agricultura, que incluyen </w:t>
      </w:r>
      <w:r w:rsidRPr="000C4415">
        <w:rPr>
          <w:rFonts w:asciiTheme="minorHAnsi" w:eastAsiaTheme="minorHAnsi" w:hAnsiTheme="minorHAnsi" w:cstheme="minorBidi"/>
          <w:b/>
          <w:color w:val="auto"/>
          <w:sz w:val="22"/>
          <w:szCs w:val="22"/>
          <w:lang w:val="es-ES"/>
        </w:rPr>
        <w:t>revertir la disminución de polinizadores</w:t>
      </w:r>
      <w:r w:rsidRPr="003F1541">
        <w:rPr>
          <w:rFonts w:asciiTheme="minorHAnsi" w:eastAsiaTheme="minorHAnsi" w:hAnsiTheme="minorHAnsi" w:cstheme="minorBidi"/>
          <w:color w:val="auto"/>
          <w:sz w:val="22"/>
          <w:szCs w:val="22"/>
          <w:lang w:val="es-ES"/>
        </w:rPr>
        <w:t xml:space="preserve"> y establecer </w:t>
      </w:r>
      <w:r w:rsidR="000C4415">
        <w:rPr>
          <w:rFonts w:asciiTheme="minorHAnsi" w:eastAsiaTheme="minorHAnsi" w:hAnsiTheme="minorHAnsi" w:cstheme="minorBidi"/>
          <w:color w:val="auto"/>
          <w:sz w:val="22"/>
          <w:szCs w:val="22"/>
          <w:lang w:val="es-ES"/>
        </w:rPr>
        <w:t xml:space="preserve">la </w:t>
      </w:r>
      <w:r w:rsidRPr="003F1541">
        <w:rPr>
          <w:rFonts w:asciiTheme="minorHAnsi" w:eastAsiaTheme="minorHAnsi" w:hAnsiTheme="minorHAnsi" w:cstheme="minorBidi"/>
          <w:color w:val="auto"/>
          <w:sz w:val="22"/>
          <w:szCs w:val="22"/>
          <w:lang w:val="es-ES"/>
        </w:rPr>
        <w:t>caracter</w:t>
      </w:r>
      <w:r w:rsidR="000C4415">
        <w:rPr>
          <w:rFonts w:asciiTheme="minorHAnsi" w:eastAsiaTheme="minorHAnsi" w:hAnsiTheme="minorHAnsi" w:cstheme="minorBidi"/>
          <w:color w:val="auto"/>
          <w:sz w:val="22"/>
          <w:szCs w:val="22"/>
          <w:lang w:val="es-ES"/>
        </w:rPr>
        <w:t>ización</w:t>
      </w:r>
      <w:r w:rsidRPr="003F1541">
        <w:rPr>
          <w:rFonts w:asciiTheme="minorHAnsi" w:eastAsiaTheme="minorHAnsi" w:hAnsiTheme="minorHAnsi" w:cstheme="minorBidi"/>
          <w:color w:val="auto"/>
          <w:sz w:val="22"/>
          <w:szCs w:val="22"/>
          <w:lang w:val="es-ES"/>
        </w:rPr>
        <w:t xml:space="preserve"> del paisaje ric</w:t>
      </w:r>
      <w:r w:rsidR="000C4415">
        <w:rPr>
          <w:rFonts w:asciiTheme="minorHAnsi" w:eastAsiaTheme="minorHAnsi" w:hAnsiTheme="minorHAnsi" w:cstheme="minorBidi"/>
          <w:color w:val="auto"/>
          <w:sz w:val="22"/>
          <w:szCs w:val="22"/>
          <w:lang w:val="es-ES"/>
        </w:rPr>
        <w:t>o</w:t>
      </w:r>
      <w:r w:rsidRPr="003F1541">
        <w:rPr>
          <w:rFonts w:asciiTheme="minorHAnsi" w:eastAsiaTheme="minorHAnsi" w:hAnsiTheme="minorHAnsi" w:cstheme="minorBidi"/>
          <w:color w:val="auto"/>
          <w:sz w:val="22"/>
          <w:szCs w:val="22"/>
          <w:lang w:val="es-ES"/>
        </w:rPr>
        <w:t xml:space="preserve"> en </w:t>
      </w:r>
      <w:r w:rsidRPr="000C4415">
        <w:rPr>
          <w:rFonts w:asciiTheme="minorHAnsi" w:eastAsiaTheme="minorHAnsi" w:hAnsiTheme="minorHAnsi" w:cstheme="minorBidi"/>
          <w:b/>
          <w:color w:val="auto"/>
          <w:sz w:val="22"/>
          <w:szCs w:val="22"/>
          <w:lang w:val="es-ES"/>
        </w:rPr>
        <w:t>biodiversidad</w:t>
      </w:r>
      <w:r w:rsidRPr="003F1541">
        <w:rPr>
          <w:rFonts w:asciiTheme="minorHAnsi" w:eastAsiaTheme="minorHAnsi" w:hAnsiTheme="minorHAnsi" w:cstheme="minorBidi"/>
          <w:color w:val="auto"/>
          <w:sz w:val="22"/>
          <w:szCs w:val="22"/>
          <w:lang w:val="es-ES"/>
        </w:rPr>
        <w:t xml:space="preserve"> en al menos el </w:t>
      </w:r>
      <w:r w:rsidRPr="000C4415">
        <w:rPr>
          <w:rFonts w:asciiTheme="minorHAnsi" w:eastAsiaTheme="minorHAnsi" w:hAnsiTheme="minorHAnsi" w:cstheme="minorBidi"/>
          <w:b/>
          <w:color w:val="auto"/>
          <w:sz w:val="22"/>
          <w:szCs w:val="22"/>
          <w:lang w:val="es-ES"/>
        </w:rPr>
        <w:t>10% de las tierras agrícolas.</w:t>
      </w:r>
    </w:p>
    <w:p w14:paraId="17D8E965" w14:textId="77777777" w:rsidR="000C4415" w:rsidRPr="000C4415" w:rsidRDefault="000C4415" w:rsidP="000C4415">
      <w:pPr>
        <w:rPr>
          <w:lang w:val="es-ES"/>
        </w:rPr>
      </w:pPr>
    </w:p>
    <w:p w14:paraId="777E8DD2" w14:textId="77777777" w:rsidR="003F1541" w:rsidRDefault="003F1541" w:rsidP="003F1541">
      <w:pPr>
        <w:pStyle w:val="Ttulo2"/>
        <w:rPr>
          <w:rFonts w:eastAsiaTheme="minorHAnsi"/>
          <w:lang w:val="es-ES"/>
        </w:rPr>
      </w:pPr>
      <w:r w:rsidRPr="003F1541">
        <w:rPr>
          <w:rFonts w:eastAsiaTheme="minorHAnsi"/>
          <w:lang w:val="es-ES"/>
        </w:rPr>
        <w:t>BREXIT</w:t>
      </w:r>
    </w:p>
    <w:p w14:paraId="4D13B217" w14:textId="77777777" w:rsidR="003F1541" w:rsidRDefault="003F1541" w:rsidP="003F1541">
      <w:pPr>
        <w:rPr>
          <w:lang w:val="es-ES"/>
        </w:rPr>
      </w:pPr>
    </w:p>
    <w:p w14:paraId="07A3FF7D" w14:textId="77777777" w:rsidR="003F1541" w:rsidRPr="003F1541" w:rsidRDefault="003F1541" w:rsidP="003F1541">
      <w:pPr>
        <w:rPr>
          <w:lang w:val="es-ES"/>
        </w:rPr>
      </w:pPr>
      <w:r w:rsidRPr="003F1541">
        <w:rPr>
          <w:lang w:val="es-ES"/>
        </w:rPr>
        <w:t>El 31 de diciembre de 2020, el Reino Unido abandonó el mercado único y la unión aduanera de la UE, poniendo fin a la libre circulación de personas, bienes y servicios.</w:t>
      </w:r>
    </w:p>
    <w:p w14:paraId="398D1DCD" w14:textId="77777777" w:rsidR="003F1541" w:rsidRPr="003F1541" w:rsidRDefault="003F1541" w:rsidP="003F1541">
      <w:pPr>
        <w:rPr>
          <w:lang w:val="es-ES"/>
        </w:rPr>
      </w:pPr>
      <w:r w:rsidRPr="003F1541">
        <w:rPr>
          <w:lang w:val="es-ES"/>
        </w:rPr>
        <w:t>El proyecto de Acuerdo de Comercio y Cooperación UE-Reino Unido acordado el 24 de diciembre de 2020 establece las normas que rigen el comercio y la circulación entre los dos.</w:t>
      </w:r>
    </w:p>
    <w:p w14:paraId="75BD0E92" w14:textId="77777777" w:rsidR="003F1541" w:rsidRPr="000C4415" w:rsidRDefault="003F1541" w:rsidP="003F1541">
      <w:pPr>
        <w:rPr>
          <w:b/>
          <w:lang w:val="es-ES"/>
        </w:rPr>
      </w:pPr>
      <w:r w:rsidRPr="003F1541">
        <w:rPr>
          <w:lang w:val="es-ES"/>
        </w:rPr>
        <w:t xml:space="preserve">De relevancia para la agricultura, el componente comercial del acuerdo incluye </w:t>
      </w:r>
      <w:r w:rsidRPr="000C4415">
        <w:rPr>
          <w:b/>
          <w:lang w:val="es-ES"/>
        </w:rPr>
        <w:t>importaciones libres de aranceles y cuotas en todos los bienes</w:t>
      </w:r>
      <w:r w:rsidRPr="003F1541">
        <w:rPr>
          <w:lang w:val="es-ES"/>
        </w:rPr>
        <w:t xml:space="preserve"> que cumplen con las disposiciones de las </w:t>
      </w:r>
      <w:r w:rsidRPr="000C4415">
        <w:rPr>
          <w:b/>
          <w:lang w:val="es-ES"/>
        </w:rPr>
        <w:t xml:space="preserve">reglas de </w:t>
      </w:r>
      <w:r w:rsidR="000C4415" w:rsidRPr="000C4415">
        <w:rPr>
          <w:b/>
          <w:lang w:val="es-ES"/>
        </w:rPr>
        <w:t xml:space="preserve">denominación de </w:t>
      </w:r>
      <w:r w:rsidRPr="000C4415">
        <w:rPr>
          <w:b/>
          <w:lang w:val="es-ES"/>
        </w:rPr>
        <w:t>origen.</w:t>
      </w:r>
    </w:p>
    <w:p w14:paraId="70E4F3B8" w14:textId="77777777" w:rsidR="00D27D00" w:rsidRPr="00D27D00" w:rsidRDefault="003F1541" w:rsidP="00D27D00">
      <w:pPr>
        <w:pStyle w:val="Ttulo2"/>
        <w:rPr>
          <w:rStyle w:val="Hipervnculo"/>
          <w:lang w:val="es-ES"/>
        </w:rPr>
      </w:pPr>
      <w:r w:rsidRPr="003F1541">
        <w:rPr>
          <w:lang w:val="es-ES"/>
        </w:rPr>
        <w:t>Apoyo al productor en la Unión Europea</w:t>
      </w:r>
      <w:r w:rsidR="00D27D00" w:rsidRPr="00D27D00">
        <w:rPr>
          <w:rFonts w:ascii="Times New Roman" w:eastAsia="Times New Roman" w:hAnsi="Times New Roman" w:cs="Times New Roman"/>
          <w:sz w:val="24"/>
          <w:szCs w:val="24"/>
          <w:lang w:val="es-ES" w:eastAsia="es-ES"/>
        </w:rPr>
        <w:t xml:space="preserve"> </w:t>
      </w:r>
      <w:r w:rsidR="00D27D00" w:rsidRPr="00D27D00">
        <w:rPr>
          <w:lang w:val="es-ES"/>
        </w:rPr>
        <w:fldChar w:fldCharType="begin"/>
      </w:r>
      <w:r w:rsidR="00D27D00" w:rsidRPr="00D27D00">
        <w:rPr>
          <w:lang w:val="es-ES"/>
        </w:rPr>
        <w:instrText xml:space="preserve"> HYPERLINK "https://stats.oecd.org/glossary/detail.asp?ID=2150" </w:instrText>
      </w:r>
      <w:r w:rsidR="00D27D00" w:rsidRPr="00D27D00">
        <w:rPr>
          <w:lang w:val="es-ES"/>
        </w:rPr>
        <w:fldChar w:fldCharType="separate"/>
      </w:r>
    </w:p>
    <w:p w14:paraId="1A66BD47" w14:textId="77777777" w:rsidR="003F1541" w:rsidRPr="003F1541" w:rsidRDefault="00D27D00" w:rsidP="00D27D00">
      <w:pPr>
        <w:pStyle w:val="Ttulo2"/>
        <w:rPr>
          <w:lang w:val="es-ES"/>
        </w:rPr>
      </w:pPr>
      <w:r w:rsidRPr="00D27D00">
        <w:rPr>
          <w:lang w:val="es-ES"/>
        </w:rPr>
        <w:fldChar w:fldCharType="end"/>
      </w:r>
    </w:p>
    <w:p w14:paraId="727801C4" w14:textId="77777777" w:rsidR="003F1541" w:rsidRPr="003F1541" w:rsidRDefault="003F1541" w:rsidP="003F1541">
      <w:pPr>
        <w:rPr>
          <w:lang w:val="es-ES"/>
        </w:rPr>
      </w:pPr>
      <w:r w:rsidRPr="003F1541">
        <w:rPr>
          <w:lang w:val="es-ES"/>
        </w:rPr>
        <w:t xml:space="preserve">El apoyo al productor en la Unión Europea, medido por la Estimación del </w:t>
      </w:r>
      <w:r w:rsidR="00291ED6">
        <w:rPr>
          <w:lang w:val="es-ES"/>
        </w:rPr>
        <w:t>A</w:t>
      </w:r>
      <w:r w:rsidRPr="003F1541">
        <w:rPr>
          <w:lang w:val="es-ES"/>
        </w:rPr>
        <w:t xml:space="preserve">poyo al </w:t>
      </w:r>
      <w:r w:rsidR="00291ED6">
        <w:rPr>
          <w:lang w:val="es-ES"/>
        </w:rPr>
        <w:t>P</w:t>
      </w:r>
      <w:r w:rsidRPr="003F1541">
        <w:rPr>
          <w:lang w:val="es-ES"/>
        </w:rPr>
        <w:t>roductor (</w:t>
      </w:r>
      <w:r w:rsidR="00D27D00" w:rsidRPr="00D27D00">
        <w:rPr>
          <w:i/>
          <w:lang w:val="es-ES"/>
        </w:rPr>
        <w:t>Producer Support Estimate</w:t>
      </w:r>
      <w:r w:rsidR="00D27D00">
        <w:rPr>
          <w:lang w:val="es-ES"/>
        </w:rPr>
        <w:t xml:space="preserve">, </w:t>
      </w:r>
      <w:r w:rsidR="00D27D00" w:rsidRPr="00D27D00">
        <w:rPr>
          <w:lang w:val="es-ES"/>
        </w:rPr>
        <w:t>PSE</w:t>
      </w:r>
      <w:r w:rsidR="00D27D00">
        <w:rPr>
          <w:rStyle w:val="Refdenotaalpie"/>
          <w:lang w:val="es-ES"/>
        </w:rPr>
        <w:footnoteReference w:id="4"/>
      </w:r>
      <w:r w:rsidR="00D27D00" w:rsidRPr="00D27D00">
        <w:rPr>
          <w:lang w:val="es-ES"/>
        </w:rPr>
        <w:t>)</w:t>
      </w:r>
      <w:r w:rsidRPr="003F1541">
        <w:rPr>
          <w:lang w:val="es-ES"/>
        </w:rPr>
        <w:t xml:space="preserve">, está cerca del promedio de la OCDE. </w:t>
      </w:r>
      <w:r w:rsidRPr="00D27D00">
        <w:rPr>
          <w:b/>
          <w:lang w:val="es-ES"/>
        </w:rPr>
        <w:t xml:space="preserve">Después de </w:t>
      </w:r>
      <w:r w:rsidR="00D27D00" w:rsidRPr="00D27D00">
        <w:rPr>
          <w:b/>
          <w:lang w:val="es-ES"/>
        </w:rPr>
        <w:t>una prolongada caída</w:t>
      </w:r>
      <w:r w:rsidRPr="00D27D00">
        <w:rPr>
          <w:b/>
          <w:lang w:val="es-ES"/>
        </w:rPr>
        <w:t xml:space="preserve"> desde la década de 1990 hasta principios de la de 2000</w:t>
      </w:r>
      <w:r w:rsidRPr="003F1541">
        <w:rPr>
          <w:lang w:val="es-ES"/>
        </w:rPr>
        <w:t xml:space="preserve">, el apoyo a los productores de la Unión Europea como porcentaje de los ingresos agrícolas brutos </w:t>
      </w:r>
      <w:r w:rsidRPr="00D27D00">
        <w:rPr>
          <w:b/>
          <w:lang w:val="es-ES"/>
        </w:rPr>
        <w:t>se estabilizó en alrededor del 19% desde 2010</w:t>
      </w:r>
      <w:r w:rsidRPr="003F1541">
        <w:rPr>
          <w:lang w:val="es-ES"/>
        </w:rPr>
        <w:t xml:space="preserve">, </w:t>
      </w:r>
      <w:r w:rsidR="00D27D00">
        <w:rPr>
          <w:lang w:val="es-ES"/>
        </w:rPr>
        <w:t xml:space="preserve">similar a la media </w:t>
      </w:r>
      <w:r w:rsidRPr="003F1541">
        <w:rPr>
          <w:lang w:val="es-ES"/>
        </w:rPr>
        <w:t>de la OCDE</w:t>
      </w:r>
      <w:r w:rsidR="00D27D00" w:rsidRPr="00D27D00">
        <w:rPr>
          <w:lang w:val="es-ES"/>
        </w:rPr>
        <w:t xml:space="preserve"> </w:t>
      </w:r>
      <w:r w:rsidR="00D27D00">
        <w:rPr>
          <w:lang w:val="es-ES"/>
        </w:rPr>
        <w:t>del</w:t>
      </w:r>
      <w:r w:rsidR="00D27D00" w:rsidRPr="003F1541">
        <w:rPr>
          <w:lang w:val="es-ES"/>
        </w:rPr>
        <w:t xml:space="preserve"> 18%</w:t>
      </w:r>
      <w:r w:rsidRPr="003F1541">
        <w:rPr>
          <w:lang w:val="es-ES"/>
        </w:rPr>
        <w:t>.</w:t>
      </w:r>
    </w:p>
    <w:p w14:paraId="00E8A628" w14:textId="77777777" w:rsidR="003F1541" w:rsidRPr="003F1541" w:rsidRDefault="003F1541" w:rsidP="003F1541">
      <w:pPr>
        <w:rPr>
          <w:lang w:val="es-ES"/>
        </w:rPr>
      </w:pPr>
    </w:p>
    <w:p w14:paraId="783AFA02" w14:textId="77777777" w:rsidR="003F1541" w:rsidRPr="003F1541" w:rsidRDefault="003F1541" w:rsidP="003F1541">
      <w:pPr>
        <w:rPr>
          <w:lang w:val="es-ES"/>
        </w:rPr>
      </w:pPr>
      <w:r w:rsidRPr="00D27D00">
        <w:rPr>
          <w:b/>
          <w:lang w:val="es-ES"/>
        </w:rPr>
        <w:lastRenderedPageBreak/>
        <w:t>Los niveles generales de sostenimiento de los precios del mercado disminuyeron en 2019</w:t>
      </w:r>
      <w:r w:rsidRPr="003F1541">
        <w:rPr>
          <w:lang w:val="es-ES"/>
        </w:rPr>
        <w:t xml:space="preserve">, ya que </w:t>
      </w:r>
      <w:r w:rsidRPr="00D27D00">
        <w:rPr>
          <w:b/>
          <w:lang w:val="es-ES"/>
        </w:rPr>
        <w:t>la brecha entre los precios nacionales y mundiales se redujo</w:t>
      </w:r>
      <w:r w:rsidRPr="003F1541">
        <w:rPr>
          <w:lang w:val="es-ES"/>
        </w:rPr>
        <w:t xml:space="preserve"> para algunos de los productos más protegidos.</w:t>
      </w:r>
    </w:p>
    <w:p w14:paraId="099628C0" w14:textId="77777777" w:rsidR="003F1541" w:rsidRDefault="00D27D00" w:rsidP="00D27D00">
      <w:pPr>
        <w:pStyle w:val="Ttulo1"/>
        <w:rPr>
          <w:lang w:val="es-ES"/>
        </w:rPr>
      </w:pPr>
      <w:r>
        <w:rPr>
          <w:lang w:val="es-ES"/>
        </w:rPr>
        <w:t>Políticas de apoyo a la agricultura</w:t>
      </w:r>
    </w:p>
    <w:p w14:paraId="60A5FCBA" w14:textId="77777777" w:rsidR="00D27D00" w:rsidRPr="00D27D00" w:rsidRDefault="00D27D00" w:rsidP="00D27D00">
      <w:pPr>
        <w:rPr>
          <w:lang w:val="es-ES"/>
        </w:rPr>
      </w:pPr>
    </w:p>
    <w:p w14:paraId="5ADD6780" w14:textId="09027699" w:rsidR="003F1541" w:rsidRPr="003F1541" w:rsidRDefault="003F1541" w:rsidP="003F1541">
      <w:pPr>
        <w:rPr>
          <w:lang w:val="es-ES"/>
        </w:rPr>
      </w:pPr>
      <w:r w:rsidRPr="00D27D00">
        <w:rPr>
          <w:b/>
          <w:lang w:val="es-ES"/>
        </w:rPr>
        <w:t xml:space="preserve">El apoyo a la agricultura en la Unión Europea </w:t>
      </w:r>
      <w:r w:rsidR="00D27D00">
        <w:rPr>
          <w:b/>
          <w:lang w:val="es-ES"/>
        </w:rPr>
        <w:t xml:space="preserve">viene </w:t>
      </w:r>
      <w:r w:rsidR="005F691A">
        <w:rPr>
          <w:b/>
          <w:lang w:val="es-ES"/>
        </w:rPr>
        <w:t>disminuyendo</w:t>
      </w:r>
      <w:r w:rsidRPr="00D27D00">
        <w:rPr>
          <w:b/>
          <w:lang w:val="es-ES"/>
        </w:rPr>
        <w:t xml:space="preserve"> gradualmente desde la década de 1990.</w:t>
      </w:r>
      <w:r w:rsidRPr="003F1541">
        <w:rPr>
          <w:lang w:val="es-ES"/>
        </w:rPr>
        <w:t xml:space="preserve"> </w:t>
      </w:r>
      <w:r w:rsidR="00D27D00">
        <w:rPr>
          <w:lang w:val="es-ES"/>
        </w:rPr>
        <w:t xml:space="preserve"> </w:t>
      </w:r>
    </w:p>
    <w:p w14:paraId="7AD883F8" w14:textId="77777777" w:rsidR="003F1541" w:rsidRPr="003F1541" w:rsidRDefault="00D27D00" w:rsidP="003F1541">
      <w:pPr>
        <w:rPr>
          <w:lang w:val="es-ES"/>
        </w:rPr>
      </w:pPr>
      <w:r>
        <w:rPr>
          <w:lang w:val="es-ES"/>
        </w:rPr>
        <w:t>(</w:t>
      </w:r>
      <w:r w:rsidR="003F1541">
        <w:rPr>
          <w:lang w:val="es-ES"/>
        </w:rPr>
        <w:t>Véase Unión Europea: Evolución de las subvenciones a la agricultura</w:t>
      </w:r>
      <w:r>
        <w:rPr>
          <w:rStyle w:val="Refdenotaalpie"/>
          <w:lang w:val="es-ES"/>
        </w:rPr>
        <w:footnoteReference w:id="5"/>
      </w:r>
    </w:p>
    <w:p w14:paraId="5F4BC591" w14:textId="77777777" w:rsidR="003F1541" w:rsidRPr="003F1541" w:rsidRDefault="00EC2F99" w:rsidP="003F1541">
      <w:pPr>
        <w:rPr>
          <w:rStyle w:val="Hipervnculo"/>
        </w:rPr>
      </w:pPr>
      <w:hyperlink r:id="rId10" w:anchor="figure-d1e46498" w:history="1">
        <w:r w:rsidR="003F1541" w:rsidRPr="003F1541">
          <w:rPr>
            <w:rStyle w:val="Hipervnculo"/>
          </w:rPr>
          <w:t>Figure 11.1. European Union: Developme</w:t>
        </w:r>
        <w:r w:rsidR="003F1541" w:rsidRPr="003F1541">
          <w:rPr>
            <w:rStyle w:val="Hipervnculo"/>
          </w:rPr>
          <w:t>n</w:t>
        </w:r>
        <w:r w:rsidR="003F1541" w:rsidRPr="003F1541">
          <w:rPr>
            <w:rStyle w:val="Hipervnculo"/>
          </w:rPr>
          <w:t>t of support to agriculture</w:t>
        </w:r>
      </w:hyperlink>
      <w:r w:rsidR="00D27D00">
        <w:rPr>
          <w:rStyle w:val="Hipervnculo"/>
        </w:rPr>
        <w:t>)</w:t>
      </w:r>
    </w:p>
    <w:p w14:paraId="78E72AE8" w14:textId="77777777" w:rsidR="003F1541" w:rsidRPr="003F1541" w:rsidRDefault="003F1541" w:rsidP="003F1541">
      <w:pPr>
        <w:rPr>
          <w:lang w:val="es-ES"/>
        </w:rPr>
      </w:pPr>
      <w:r w:rsidRPr="002D5AA1">
        <w:rPr>
          <w:b/>
          <w:lang w:val="es-ES"/>
        </w:rPr>
        <w:t>Aunque la ayuda en forma de distorsiones de precios se ha reducido sustancialmente</w:t>
      </w:r>
      <w:r w:rsidRPr="003F1541">
        <w:rPr>
          <w:lang w:val="es-ES"/>
        </w:rPr>
        <w:t xml:space="preserve">, las </w:t>
      </w:r>
      <w:r w:rsidRPr="002D5AA1">
        <w:rPr>
          <w:b/>
          <w:lang w:val="es-ES"/>
        </w:rPr>
        <w:t xml:space="preserve">medidas de protección </w:t>
      </w:r>
      <w:r w:rsidR="002D5AA1" w:rsidRPr="002D5AA1">
        <w:rPr>
          <w:b/>
          <w:lang w:val="es-ES"/>
        </w:rPr>
        <w:t>no arancelaria</w:t>
      </w:r>
      <w:r w:rsidR="002D5AA1">
        <w:rPr>
          <w:lang w:val="es-ES"/>
        </w:rPr>
        <w:t xml:space="preserve"> </w:t>
      </w:r>
      <w:r w:rsidR="002D5AA1" w:rsidRPr="002D5AA1">
        <w:rPr>
          <w:b/>
          <w:lang w:val="es-ES"/>
        </w:rPr>
        <w:t>siguen en vigor</w:t>
      </w:r>
      <w:r w:rsidR="002D5AA1">
        <w:rPr>
          <w:lang w:val="es-ES"/>
        </w:rPr>
        <w:t xml:space="preserve"> para ciertos productos</w:t>
      </w:r>
      <w:r w:rsidRPr="003F1541">
        <w:rPr>
          <w:lang w:val="es-ES"/>
        </w:rPr>
        <w:t xml:space="preserve"> (incluidas las licencias de importación y exportación, contingentes arancelarios y salvaguardias especiales).</w:t>
      </w:r>
    </w:p>
    <w:p w14:paraId="57660150" w14:textId="77777777" w:rsidR="003F1541" w:rsidRPr="002D5AA1" w:rsidRDefault="003F1541" w:rsidP="003F1541">
      <w:pPr>
        <w:rPr>
          <w:b/>
          <w:lang w:val="es-ES"/>
        </w:rPr>
      </w:pPr>
      <w:r w:rsidRPr="002D5AA1">
        <w:rPr>
          <w:b/>
          <w:lang w:val="es-ES"/>
        </w:rPr>
        <w:t>Los niveles generales de sostenimiento de los precios del mercado disminuyeron, ya que la brecha entre los precios internos y mundiales se redujo para algunos de los productos más protegidos.</w:t>
      </w:r>
    </w:p>
    <w:p w14:paraId="7F4D3DCA" w14:textId="77777777" w:rsidR="003F1541" w:rsidRPr="003F1541" w:rsidRDefault="003F1541" w:rsidP="003F1541">
      <w:pPr>
        <w:rPr>
          <w:lang w:val="es-ES"/>
        </w:rPr>
      </w:pPr>
      <w:r w:rsidRPr="002D5AA1">
        <w:rPr>
          <w:b/>
          <w:lang w:val="es-ES"/>
        </w:rPr>
        <w:t>El apoyo en forma de distorsiones de precios disminuyó sustancialmente con el tiempo.</w:t>
      </w:r>
      <w:r w:rsidRPr="003F1541">
        <w:rPr>
          <w:lang w:val="es-ES"/>
        </w:rPr>
        <w:t xml:space="preserve"> En 2018-20, el sostenimiento de los precios de mercado (MPS</w:t>
      </w:r>
      <w:r w:rsidR="002D5AA1">
        <w:rPr>
          <w:rStyle w:val="Refdenotaalpie"/>
          <w:lang w:val="es-ES"/>
        </w:rPr>
        <w:footnoteReference w:id="6"/>
      </w:r>
      <w:r w:rsidRPr="003F1541">
        <w:rPr>
          <w:lang w:val="es-ES"/>
        </w:rPr>
        <w:t>) representó el 18% del apoyo a los productores, frente al 46% en 2000-02.</w:t>
      </w:r>
    </w:p>
    <w:p w14:paraId="51486585" w14:textId="77777777" w:rsidR="003F1541" w:rsidRPr="003F1541" w:rsidRDefault="003F1541" w:rsidP="003F1541">
      <w:pPr>
        <w:rPr>
          <w:lang w:val="es-ES"/>
        </w:rPr>
      </w:pPr>
      <w:r w:rsidRPr="003F1541">
        <w:rPr>
          <w:lang w:val="es-ES"/>
        </w:rPr>
        <w:t>Las distorsiones en la producción derivadas de los pagos también han disminuido desde principios de la década de 2000 y la mayoría de los pagos actuales no requieren producción. Los pagos que no requirieron producción representaron el 41% de l</w:t>
      </w:r>
      <w:r>
        <w:rPr>
          <w:lang w:val="es-ES"/>
        </w:rPr>
        <w:t>a ayuda en promedio en 2017-19.</w:t>
      </w:r>
    </w:p>
    <w:p w14:paraId="616B71F6" w14:textId="77777777" w:rsidR="003F1541" w:rsidRPr="003F1541" w:rsidRDefault="00D27D00" w:rsidP="003F1541">
      <w:pPr>
        <w:rPr>
          <w:lang w:val="es-ES"/>
        </w:rPr>
      </w:pPr>
      <w:r>
        <w:rPr>
          <w:lang w:val="es-ES"/>
        </w:rPr>
        <w:t>(</w:t>
      </w:r>
      <w:r w:rsidR="003F1541">
        <w:rPr>
          <w:lang w:val="es-ES"/>
        </w:rPr>
        <w:t xml:space="preserve">Véase </w:t>
      </w:r>
      <w:r w:rsidR="003F1541" w:rsidRPr="003F1541">
        <w:rPr>
          <w:lang w:val="es-ES"/>
        </w:rPr>
        <w:t>Unión Europea: impulsores del cambio en PSE, 2019 a 2020</w:t>
      </w:r>
    </w:p>
    <w:p w14:paraId="71FFD19E" w14:textId="15EF9FC9" w:rsidR="003F1541" w:rsidRPr="003F1541" w:rsidRDefault="00EC2F99" w:rsidP="003F1541">
      <w:hyperlink r:id="rId11" w:anchor="figure-d1e46528" w:history="1">
        <w:r w:rsidR="003F1541" w:rsidRPr="003F1541">
          <w:rPr>
            <w:rStyle w:val="Hipervnculo"/>
          </w:rPr>
          <w:t>Figure 11.2. European Union: Drivers of the change in PSE</w:t>
        </w:r>
        <w:r w:rsidR="003F1541" w:rsidRPr="003F1541">
          <w:rPr>
            <w:rStyle w:val="Hipervnculo"/>
          </w:rPr>
          <w:t>,</w:t>
        </w:r>
        <w:r w:rsidR="003F1541" w:rsidRPr="003F1541">
          <w:rPr>
            <w:rStyle w:val="Hipervnculo"/>
          </w:rPr>
          <w:t xml:space="preserve"> 2019 to 2020</w:t>
        </w:r>
      </w:hyperlink>
    </w:p>
    <w:p w14:paraId="7E197FC6" w14:textId="77777777" w:rsidR="003F1541" w:rsidRPr="002D555A" w:rsidRDefault="003F1541" w:rsidP="003F1541">
      <w:pPr>
        <w:rPr>
          <w:b/>
          <w:lang w:val="es-ES"/>
        </w:rPr>
      </w:pPr>
      <w:r w:rsidRPr="002D555A">
        <w:rPr>
          <w:b/>
          <w:lang w:val="es-ES"/>
        </w:rPr>
        <w:t>La mayor parte de la ayuda a los productores proviene de ayudas presupuestarias, principalmente en forma de pagos directos.</w:t>
      </w:r>
      <w:r w:rsidRPr="003F1541">
        <w:rPr>
          <w:lang w:val="es-ES"/>
        </w:rPr>
        <w:t xml:space="preserve"> Las distorsiones de </w:t>
      </w:r>
      <w:r w:rsidR="002D555A">
        <w:rPr>
          <w:lang w:val="es-ES"/>
        </w:rPr>
        <w:t xml:space="preserve">la </w:t>
      </w:r>
      <w:r w:rsidRPr="003F1541">
        <w:rPr>
          <w:lang w:val="es-ES"/>
        </w:rPr>
        <w:t xml:space="preserve">producción derivadas de estos pagos </w:t>
      </w:r>
      <w:r w:rsidRPr="002D555A">
        <w:rPr>
          <w:b/>
          <w:lang w:val="es-ES"/>
        </w:rPr>
        <w:t>disminuyeron desde principios de la década de 2000</w:t>
      </w:r>
      <w:r w:rsidRPr="003F1541">
        <w:rPr>
          <w:lang w:val="es-ES"/>
        </w:rPr>
        <w:t xml:space="preserve">. </w:t>
      </w:r>
      <w:r w:rsidRPr="002D555A">
        <w:rPr>
          <w:b/>
          <w:lang w:val="es-ES"/>
        </w:rPr>
        <w:t>A partir de 2020, casi la mitad del apoyo presupuestario está desvinculado de la producción; un tercio se basa en la producción actual y el 18% se basa en el uso de insumos.</w:t>
      </w:r>
    </w:p>
    <w:p w14:paraId="3347C5FE" w14:textId="77777777" w:rsidR="003F1541" w:rsidRPr="003F1541" w:rsidRDefault="002D555A" w:rsidP="003F1541">
      <w:pPr>
        <w:rPr>
          <w:lang w:val="es-ES"/>
        </w:rPr>
      </w:pPr>
      <w:r>
        <w:rPr>
          <w:lang w:val="es-ES"/>
        </w:rPr>
        <w:t>(</w:t>
      </w:r>
      <w:r w:rsidR="003F1541">
        <w:rPr>
          <w:lang w:val="es-ES"/>
        </w:rPr>
        <w:t>Véase</w:t>
      </w:r>
      <w:r w:rsidR="003F1541" w:rsidRPr="003F1541">
        <w:rPr>
          <w:lang w:val="es-ES"/>
        </w:rPr>
        <w:t xml:space="preserve"> Unión Europea: Transferencia a productos básicos específicos (SCT), 2018-20</w:t>
      </w:r>
    </w:p>
    <w:p w14:paraId="63836CE0" w14:textId="77777777" w:rsidR="003F1541" w:rsidRPr="003F1541" w:rsidRDefault="00EC2F99" w:rsidP="003F1541">
      <w:pPr>
        <w:rPr>
          <w:rStyle w:val="Hipervnculo"/>
        </w:rPr>
      </w:pPr>
      <w:hyperlink r:id="rId12" w:anchor="figure-d1e46558" w:history="1">
        <w:r w:rsidR="003F1541" w:rsidRPr="003F1541">
          <w:rPr>
            <w:rStyle w:val="Hipervnculo"/>
          </w:rPr>
          <w:t>Figure 11.3. European Union: Transfer to specific commodities (SCT), 2018-20</w:t>
        </w:r>
      </w:hyperlink>
      <w:r w:rsidR="002D555A">
        <w:rPr>
          <w:rStyle w:val="Hipervnculo"/>
        </w:rPr>
        <w:t>)</w:t>
      </w:r>
    </w:p>
    <w:p w14:paraId="43F4B1C7" w14:textId="77777777" w:rsidR="003F1541" w:rsidRPr="003F1541" w:rsidRDefault="003F1541" w:rsidP="003F1541">
      <w:pPr>
        <w:rPr>
          <w:lang w:val="es-ES"/>
        </w:rPr>
      </w:pPr>
      <w:r w:rsidRPr="003F1541">
        <w:rPr>
          <w:lang w:val="es-ES"/>
        </w:rPr>
        <w:t xml:space="preserve">Además, casi el </w:t>
      </w:r>
      <w:r w:rsidRPr="002D555A">
        <w:rPr>
          <w:b/>
          <w:lang w:val="es-ES"/>
        </w:rPr>
        <w:t>60% de los pagos a los productores están supeditados a restricciones medioambientales obligatorias</w:t>
      </w:r>
      <w:r w:rsidRPr="003F1541">
        <w:rPr>
          <w:lang w:val="es-ES"/>
        </w:rPr>
        <w:t xml:space="preserve">, y un </w:t>
      </w:r>
      <w:r w:rsidRPr="002D555A">
        <w:rPr>
          <w:b/>
          <w:lang w:val="es-ES"/>
        </w:rPr>
        <w:t>14% adicional de los pagos a los productores</w:t>
      </w:r>
      <w:r w:rsidRPr="003F1541">
        <w:rPr>
          <w:lang w:val="es-ES"/>
        </w:rPr>
        <w:t xml:space="preserve"> proceden de </w:t>
      </w:r>
      <w:r w:rsidRPr="002D555A">
        <w:rPr>
          <w:b/>
          <w:lang w:val="es-ES"/>
        </w:rPr>
        <w:t>planes agroambientales voluntarios</w:t>
      </w:r>
      <w:r w:rsidRPr="003F1541">
        <w:rPr>
          <w:lang w:val="es-ES"/>
        </w:rPr>
        <w:t xml:space="preserve"> con condiciones que van más allá </w:t>
      </w:r>
      <w:r>
        <w:rPr>
          <w:lang w:val="es-ES"/>
        </w:rPr>
        <w:t>de los requisitos obligatorios.</w:t>
      </w:r>
    </w:p>
    <w:p w14:paraId="1D55086B" w14:textId="77777777" w:rsidR="003F1541" w:rsidRPr="003F1541" w:rsidRDefault="003F1541" w:rsidP="003F1541">
      <w:pPr>
        <w:rPr>
          <w:lang w:val="es-ES"/>
        </w:rPr>
      </w:pPr>
      <w:r w:rsidRPr="003F1541">
        <w:rPr>
          <w:b/>
          <w:lang w:val="es-ES"/>
        </w:rPr>
        <w:t>Los gastos en servicios generales al sector (GSSE</w:t>
      </w:r>
      <w:r w:rsidRPr="003F1541">
        <w:rPr>
          <w:lang w:val="es-ES"/>
        </w:rPr>
        <w:t xml:space="preserve">) en 2018-20 alcanzaron un </w:t>
      </w:r>
      <w:r w:rsidRPr="002D555A">
        <w:rPr>
          <w:b/>
          <w:lang w:val="es-ES"/>
        </w:rPr>
        <w:t>promedio del 10,4%</w:t>
      </w:r>
      <w:r w:rsidRPr="003F1541">
        <w:rPr>
          <w:lang w:val="es-ES"/>
        </w:rPr>
        <w:t xml:space="preserve"> </w:t>
      </w:r>
      <w:r w:rsidRPr="002D555A">
        <w:rPr>
          <w:b/>
          <w:lang w:val="es-ES"/>
        </w:rPr>
        <w:t>del apoyo total</w:t>
      </w:r>
      <w:r w:rsidRPr="003F1541">
        <w:rPr>
          <w:lang w:val="es-ES"/>
        </w:rPr>
        <w:t xml:space="preserve">, o el 4,7% del valor agregado agrícola un ligero aumento en comparación con 2000-02 pero </w:t>
      </w:r>
      <w:r w:rsidRPr="002D555A">
        <w:rPr>
          <w:b/>
          <w:lang w:val="es-ES"/>
        </w:rPr>
        <w:t>todavía por debajo de</w:t>
      </w:r>
      <w:r w:rsidR="002D555A">
        <w:rPr>
          <w:b/>
          <w:lang w:val="es-ES"/>
        </w:rPr>
        <w:t xml:space="preserve"> </w:t>
      </w:r>
      <w:r w:rsidRPr="002D555A">
        <w:rPr>
          <w:b/>
          <w:lang w:val="es-ES"/>
        </w:rPr>
        <w:t>l</w:t>
      </w:r>
      <w:r w:rsidR="002D555A">
        <w:rPr>
          <w:b/>
          <w:lang w:val="es-ES"/>
        </w:rPr>
        <w:t>a</w:t>
      </w:r>
      <w:r w:rsidRPr="002D555A">
        <w:rPr>
          <w:b/>
          <w:lang w:val="es-ES"/>
        </w:rPr>
        <w:t xml:space="preserve"> medi</w:t>
      </w:r>
      <w:r w:rsidR="002D555A">
        <w:rPr>
          <w:b/>
          <w:lang w:val="es-ES"/>
        </w:rPr>
        <w:t>a</w:t>
      </w:r>
      <w:r w:rsidRPr="002D555A">
        <w:rPr>
          <w:b/>
          <w:lang w:val="es-ES"/>
        </w:rPr>
        <w:t xml:space="preserve"> de la OCDE.</w:t>
      </w:r>
      <w:r w:rsidRPr="003F1541">
        <w:rPr>
          <w:lang w:val="es-ES"/>
        </w:rPr>
        <w:t xml:space="preserve"> Si bien la importancia relativa de GSSE no ha cambiado en gran medida durante las últimas dos décadas, la composición de los gastos de GSSE ha cambiado. </w:t>
      </w:r>
      <w:r w:rsidRPr="002D555A">
        <w:rPr>
          <w:b/>
          <w:lang w:val="es-ES"/>
        </w:rPr>
        <w:t>Los gastos en sistemas de innovación y conocimiento agrícola continuaron predominando,</w:t>
      </w:r>
      <w:r w:rsidRPr="003F1541">
        <w:rPr>
          <w:lang w:val="es-ES"/>
        </w:rPr>
        <w:t xml:space="preserve"> ya que su participación en el gasto total creció 12 puntos porcentuales hasta el 54% en 2018-20.</w:t>
      </w:r>
    </w:p>
    <w:p w14:paraId="6230C4A4" w14:textId="77777777" w:rsidR="003F1541" w:rsidRPr="003F1541" w:rsidRDefault="003F1541" w:rsidP="003F1541">
      <w:pPr>
        <w:rPr>
          <w:lang w:val="es-ES"/>
        </w:rPr>
      </w:pPr>
      <w:r w:rsidRPr="002D555A">
        <w:rPr>
          <w:b/>
          <w:lang w:val="es-ES"/>
        </w:rPr>
        <w:t>Los gastos en marketing y promoción también aumentaron</w:t>
      </w:r>
      <w:r w:rsidRPr="003F1541">
        <w:rPr>
          <w:lang w:val="es-ES"/>
        </w:rPr>
        <w:t xml:space="preserve"> (ahora son responsables del 22% de GSSE), mientras que el apoyo para el desarrollo y mantenimiento de infraestructura y la constitución de exi</w:t>
      </w:r>
      <w:r>
        <w:rPr>
          <w:lang w:val="es-ES"/>
        </w:rPr>
        <w:t>stencias públicas disminuyeron.</w:t>
      </w:r>
    </w:p>
    <w:p w14:paraId="03F4A445" w14:textId="77777777" w:rsidR="003F1541" w:rsidRPr="002D555A" w:rsidRDefault="003F1541" w:rsidP="003F1541">
      <w:pPr>
        <w:rPr>
          <w:b/>
          <w:lang w:val="es-ES"/>
        </w:rPr>
      </w:pPr>
      <w:r w:rsidRPr="002D555A">
        <w:rPr>
          <w:b/>
          <w:lang w:val="es-ES"/>
        </w:rPr>
        <w:t>El apoyo total al sector disminuyó en términos relativos durante los últimos veinte años. En 2018-20, la ayuda total se estimó en el 0,6% del PIB, en comparación con el 1,0% en 2000-02.</w:t>
      </w:r>
    </w:p>
    <w:p w14:paraId="5B4E92A1" w14:textId="77777777" w:rsidR="003F1541" w:rsidRPr="003F1541" w:rsidRDefault="003F1541" w:rsidP="003F1541">
      <w:pPr>
        <w:rPr>
          <w:lang w:val="es-ES"/>
        </w:rPr>
      </w:pPr>
      <w:r w:rsidRPr="003F1541">
        <w:rPr>
          <w:lang w:val="es-ES"/>
        </w:rPr>
        <w:t xml:space="preserve">Sin embargo, </w:t>
      </w:r>
      <w:r w:rsidRPr="003F1541">
        <w:rPr>
          <w:b/>
          <w:lang w:val="es-ES"/>
        </w:rPr>
        <w:t>la composición de GSSE ha evolucionado. El conocimiento y la innovación agrícolas representan el 56% del GSSE</w:t>
      </w:r>
      <w:r w:rsidRPr="003F1541">
        <w:rPr>
          <w:lang w:val="es-ES"/>
        </w:rPr>
        <w:t>, frente al 42% en 2000-02.</w:t>
      </w:r>
    </w:p>
    <w:p w14:paraId="705C00BA" w14:textId="77777777" w:rsidR="003F1541" w:rsidRPr="003F1541" w:rsidRDefault="003F1541" w:rsidP="003F1541">
      <w:pPr>
        <w:rPr>
          <w:lang w:val="es-ES"/>
        </w:rPr>
      </w:pPr>
      <w:r w:rsidRPr="002D555A">
        <w:rPr>
          <w:b/>
          <w:lang w:val="es-ES"/>
        </w:rPr>
        <w:t>Los gastos tanto en infraestructura como en existencias públicas han disminuido</w:t>
      </w:r>
      <w:r w:rsidRPr="003F1541">
        <w:rPr>
          <w:lang w:val="es-ES"/>
        </w:rPr>
        <w:t xml:space="preserve"> durante el período, cayendo respectivamente del 27% y el 15% en 2000-02 al 15% y 1% en 2017-19.</w:t>
      </w:r>
    </w:p>
    <w:p w14:paraId="1494E266" w14:textId="77777777" w:rsidR="003F1541" w:rsidRPr="003F1541" w:rsidRDefault="003F1541" w:rsidP="003F1541">
      <w:pPr>
        <w:rPr>
          <w:lang w:val="es-ES"/>
        </w:rPr>
      </w:pPr>
    </w:p>
    <w:p w14:paraId="2EBE1C3A" w14:textId="77777777" w:rsidR="003F1541" w:rsidRDefault="003F1541" w:rsidP="003F1541">
      <w:pPr>
        <w:pStyle w:val="Ttulo2"/>
        <w:rPr>
          <w:lang w:val="es-ES"/>
        </w:rPr>
      </w:pPr>
      <w:r w:rsidRPr="003F1541">
        <w:rPr>
          <w:lang w:val="es-ES"/>
        </w:rPr>
        <w:t xml:space="preserve">El nuevo acuerdo </w:t>
      </w:r>
      <w:r w:rsidR="002D555A">
        <w:rPr>
          <w:lang w:val="es-ES"/>
        </w:rPr>
        <w:t>para</w:t>
      </w:r>
      <w:r w:rsidRPr="003F1541">
        <w:rPr>
          <w:lang w:val="es-ES"/>
        </w:rPr>
        <w:t xml:space="preserve"> la PAC 2023-27</w:t>
      </w:r>
    </w:p>
    <w:p w14:paraId="4E4DA740" w14:textId="77777777" w:rsidR="002D555A" w:rsidRPr="002D555A" w:rsidRDefault="002D555A" w:rsidP="002D555A">
      <w:pPr>
        <w:rPr>
          <w:lang w:val="es-ES"/>
        </w:rPr>
      </w:pPr>
    </w:p>
    <w:p w14:paraId="14161559" w14:textId="77777777" w:rsidR="003F1541" w:rsidRPr="002D555A" w:rsidRDefault="003F1541" w:rsidP="003F1541">
      <w:pPr>
        <w:rPr>
          <w:b/>
          <w:lang w:val="es-ES"/>
        </w:rPr>
      </w:pPr>
      <w:r w:rsidRPr="003F1541">
        <w:rPr>
          <w:lang w:val="es-ES"/>
        </w:rPr>
        <w:t xml:space="preserve">La Comisión y el Parlamento Europeo alcanzaron un acuerdo (el 25 de junio de 2021) para aprobar una </w:t>
      </w:r>
      <w:r w:rsidRPr="002D555A">
        <w:rPr>
          <w:b/>
          <w:lang w:val="es-ES"/>
        </w:rPr>
        <w:t>nueva PAC que se implementará a partir de enero de 2023</w:t>
      </w:r>
      <w:r w:rsidRPr="003F1541">
        <w:rPr>
          <w:lang w:val="es-ES"/>
        </w:rPr>
        <w:t xml:space="preserve"> después de una </w:t>
      </w:r>
      <w:r w:rsidRPr="002D555A">
        <w:rPr>
          <w:b/>
          <w:lang w:val="es-ES"/>
        </w:rPr>
        <w:t>larga disputa sobre el tamaño del presupuesto.</w:t>
      </w:r>
    </w:p>
    <w:p w14:paraId="2E3DBBAB" w14:textId="77777777" w:rsidR="003F1541" w:rsidRDefault="003F1541" w:rsidP="003F1541">
      <w:pPr>
        <w:pStyle w:val="Ttulo2"/>
        <w:rPr>
          <w:lang w:val="es-ES"/>
        </w:rPr>
      </w:pPr>
      <w:r w:rsidRPr="003F1541">
        <w:rPr>
          <w:lang w:val="es-ES"/>
        </w:rPr>
        <w:t>Una PAC más justa</w:t>
      </w:r>
    </w:p>
    <w:p w14:paraId="11555BC7" w14:textId="77777777" w:rsidR="003F1541" w:rsidRPr="003F1541" w:rsidRDefault="003F1541" w:rsidP="003F1541">
      <w:pPr>
        <w:rPr>
          <w:lang w:val="es-ES"/>
        </w:rPr>
      </w:pPr>
    </w:p>
    <w:p w14:paraId="12AE8DCE" w14:textId="77777777" w:rsidR="003F1541" w:rsidRPr="003F1541" w:rsidRDefault="003F1541" w:rsidP="003F1541">
      <w:pPr>
        <w:rPr>
          <w:lang w:val="es-ES"/>
        </w:rPr>
      </w:pPr>
      <w:r w:rsidRPr="003F1541">
        <w:rPr>
          <w:lang w:val="es-ES"/>
        </w:rPr>
        <w:t xml:space="preserve">Por primera vez, la PAC incluirá la </w:t>
      </w:r>
      <w:r w:rsidRPr="003F1541">
        <w:rPr>
          <w:b/>
          <w:lang w:val="es-ES"/>
        </w:rPr>
        <w:t>condicionalidad social</w:t>
      </w:r>
      <w:r w:rsidRPr="003F1541">
        <w:rPr>
          <w:lang w:val="es-ES"/>
        </w:rPr>
        <w:t>, lo que significa que los beneficiarios de la PAC tendrán que respetar elementos de la legislación social y laboral europea para recibir fondos de la PAC</w:t>
      </w:r>
      <w:r>
        <w:rPr>
          <w:lang w:val="es-ES"/>
        </w:rPr>
        <w:t xml:space="preserve"> </w:t>
      </w:r>
      <w:r w:rsidRPr="003F1541">
        <w:rPr>
          <w:lang w:val="es-ES"/>
        </w:rPr>
        <w:t xml:space="preserve">(Comisión, </w:t>
      </w:r>
      <w:r>
        <w:rPr>
          <w:lang w:val="es-ES"/>
        </w:rPr>
        <w:t>2021</w:t>
      </w:r>
      <w:r w:rsidRPr="003F1541">
        <w:rPr>
          <w:lang w:val="es-ES"/>
        </w:rPr>
        <w:t>)</w:t>
      </w:r>
      <w:r>
        <w:rPr>
          <w:lang w:val="es-ES"/>
        </w:rPr>
        <w:t>.</w:t>
      </w:r>
    </w:p>
    <w:p w14:paraId="4D82C744" w14:textId="77777777" w:rsidR="003F1541" w:rsidRPr="003F1541" w:rsidRDefault="003F1541" w:rsidP="003F1541">
      <w:pPr>
        <w:rPr>
          <w:lang w:val="es-ES"/>
        </w:rPr>
      </w:pPr>
      <w:r w:rsidRPr="003F1541">
        <w:rPr>
          <w:lang w:val="es-ES"/>
        </w:rPr>
        <w:t>.</w:t>
      </w:r>
    </w:p>
    <w:p w14:paraId="2D2354B8" w14:textId="77777777" w:rsidR="003F1541" w:rsidRPr="003F1541" w:rsidRDefault="003F1541" w:rsidP="003F1541">
      <w:pPr>
        <w:rPr>
          <w:lang w:val="es-ES"/>
        </w:rPr>
      </w:pPr>
    </w:p>
    <w:p w14:paraId="3F75E897" w14:textId="77777777" w:rsidR="003F1541" w:rsidRPr="003F1541" w:rsidRDefault="003F1541" w:rsidP="003F1541">
      <w:pPr>
        <w:rPr>
          <w:lang w:val="es-ES"/>
        </w:rPr>
      </w:pPr>
      <w:r w:rsidRPr="002D555A">
        <w:rPr>
          <w:b/>
          <w:lang w:val="es-ES"/>
        </w:rPr>
        <w:lastRenderedPageBreak/>
        <w:t>La redistribución de la ayuda a l</w:t>
      </w:r>
      <w:r w:rsidR="002D555A" w:rsidRPr="002D555A">
        <w:rPr>
          <w:b/>
          <w:lang w:val="es-ES"/>
        </w:rPr>
        <w:t>a</w:t>
      </w:r>
      <w:r w:rsidRPr="002D555A">
        <w:rPr>
          <w:b/>
          <w:lang w:val="es-ES"/>
        </w:rPr>
        <w:t xml:space="preserve">s </w:t>
      </w:r>
      <w:r w:rsidR="002D555A" w:rsidRPr="002D555A">
        <w:rPr>
          <w:b/>
          <w:lang w:val="es-ES"/>
        </w:rPr>
        <w:t>rentas</w:t>
      </w:r>
      <w:r w:rsidRPr="002D555A">
        <w:rPr>
          <w:b/>
          <w:lang w:val="es-ES"/>
        </w:rPr>
        <w:t xml:space="preserve"> será obligatoria.</w:t>
      </w:r>
      <w:r w:rsidRPr="003F1541">
        <w:rPr>
          <w:lang w:val="es-ES"/>
        </w:rPr>
        <w:t xml:space="preserve"> Los Estados miembros </w:t>
      </w:r>
      <w:r w:rsidRPr="003F1541">
        <w:rPr>
          <w:b/>
          <w:lang w:val="es-ES"/>
        </w:rPr>
        <w:t xml:space="preserve">redistribuirán al menos el 10% en beneficio de las explotaciones más pequeñas </w:t>
      </w:r>
      <w:r w:rsidRPr="003F1541">
        <w:rPr>
          <w:lang w:val="es-ES"/>
        </w:rPr>
        <w:t>y deberán describir en su plan estratégico cómo planean hacerlo.</w:t>
      </w:r>
    </w:p>
    <w:p w14:paraId="2968C937" w14:textId="77777777" w:rsidR="003F1541" w:rsidRPr="003F1541" w:rsidRDefault="003F1541" w:rsidP="003F1541">
      <w:pPr>
        <w:rPr>
          <w:lang w:val="es-ES"/>
        </w:rPr>
      </w:pPr>
      <w:r w:rsidRPr="003F1541">
        <w:rPr>
          <w:lang w:val="es-ES"/>
        </w:rPr>
        <w:t xml:space="preserve">El apoyo a los </w:t>
      </w:r>
      <w:r w:rsidRPr="003F1541">
        <w:rPr>
          <w:b/>
          <w:lang w:val="es-ES"/>
        </w:rPr>
        <w:t>jóvenes agricultores</w:t>
      </w:r>
      <w:r w:rsidRPr="003F1541">
        <w:rPr>
          <w:lang w:val="es-ES"/>
        </w:rPr>
        <w:t xml:space="preserve"> tendrá un nuevo </w:t>
      </w:r>
      <w:r w:rsidRPr="002D555A">
        <w:rPr>
          <w:b/>
          <w:lang w:val="es-ES"/>
        </w:rPr>
        <w:t xml:space="preserve">nivel mínimo obligatorio del 3% </w:t>
      </w:r>
      <w:r w:rsidRPr="003F1541">
        <w:rPr>
          <w:lang w:val="es-ES"/>
        </w:rPr>
        <w:t xml:space="preserve">de los presupuestos de los Estados miembros para el apoyo a la renta de la PAC para los jóvenes agricultores (agricultores de hasta 40 años). Esto podría cubrir las ayudas a la renta, la inversión o la puesta en marcha </w:t>
      </w:r>
      <w:r w:rsidR="002D555A">
        <w:rPr>
          <w:lang w:val="es-ES"/>
        </w:rPr>
        <w:t>de la explotación por los</w:t>
      </w:r>
      <w:r w:rsidRPr="003F1541">
        <w:rPr>
          <w:lang w:val="es-ES"/>
        </w:rPr>
        <w:t xml:space="preserve"> jóvenes agricultores.</w:t>
      </w:r>
    </w:p>
    <w:p w14:paraId="33FC0D16" w14:textId="77777777" w:rsidR="003F1541" w:rsidRPr="003F1541" w:rsidRDefault="003F1541" w:rsidP="003F1541">
      <w:pPr>
        <w:rPr>
          <w:lang w:val="es-ES"/>
        </w:rPr>
      </w:pPr>
    </w:p>
    <w:p w14:paraId="678ED11E" w14:textId="77777777" w:rsidR="003F1541" w:rsidRDefault="003F1541" w:rsidP="003F1541">
      <w:pPr>
        <w:pStyle w:val="Ttulo2"/>
        <w:rPr>
          <w:lang w:val="es-ES"/>
        </w:rPr>
      </w:pPr>
      <w:r w:rsidRPr="003F1541">
        <w:rPr>
          <w:lang w:val="es-ES"/>
        </w:rPr>
        <w:t>Una PAC más ecológica</w:t>
      </w:r>
    </w:p>
    <w:p w14:paraId="6CF95AB7" w14:textId="77777777" w:rsidR="003F1541" w:rsidRPr="003F1541" w:rsidRDefault="003F1541" w:rsidP="003F1541">
      <w:pPr>
        <w:rPr>
          <w:lang w:val="es-ES"/>
        </w:rPr>
      </w:pPr>
    </w:p>
    <w:p w14:paraId="351A111F" w14:textId="77777777" w:rsidR="003F1541" w:rsidRPr="003F1541" w:rsidRDefault="003F1541" w:rsidP="003F1541">
      <w:pPr>
        <w:rPr>
          <w:lang w:val="es-ES"/>
        </w:rPr>
      </w:pPr>
      <w:r w:rsidRPr="003F1541">
        <w:rPr>
          <w:lang w:val="es-ES"/>
        </w:rPr>
        <w:t xml:space="preserve">Según la OCDE (2021), más pagos están sujetos al cumplimiento ambiental, </w:t>
      </w:r>
      <w:r w:rsidRPr="002D555A">
        <w:rPr>
          <w:b/>
          <w:lang w:val="es-ES"/>
        </w:rPr>
        <w:t>más del 60% de los pagos a los productores están condicionados a restricciones ambientales obligatorias,</w:t>
      </w:r>
      <w:r w:rsidRPr="003F1541">
        <w:rPr>
          <w:lang w:val="es-ES"/>
        </w:rPr>
        <w:t xml:space="preserve"> y un 14% adicional de los pagos a los productores provienen de </w:t>
      </w:r>
      <w:r w:rsidRPr="002D555A">
        <w:rPr>
          <w:b/>
          <w:lang w:val="es-ES"/>
        </w:rPr>
        <w:t>esquemas agroambientales voluntarios</w:t>
      </w:r>
      <w:r w:rsidRPr="003F1541">
        <w:rPr>
          <w:lang w:val="es-ES"/>
        </w:rPr>
        <w:t xml:space="preserve"> con condiciones que van más allá de los requisitos obligatorios.</w:t>
      </w:r>
    </w:p>
    <w:p w14:paraId="440FA8CE" w14:textId="77777777" w:rsidR="003F1541" w:rsidRDefault="003F1541" w:rsidP="003F1541">
      <w:pPr>
        <w:rPr>
          <w:lang w:val="es-ES"/>
        </w:rPr>
      </w:pPr>
      <w:r w:rsidRPr="002D555A">
        <w:rPr>
          <w:b/>
          <w:lang w:val="es-ES"/>
        </w:rPr>
        <w:t>La nueva PAC apoyará la transición hacia una agricultura más sostenible</w:t>
      </w:r>
      <w:r w:rsidRPr="003F1541">
        <w:rPr>
          <w:lang w:val="es-ES"/>
        </w:rPr>
        <w:t xml:space="preserve"> con una mayor ambición por el clima, el medio ambiente y el bienestar animal. Esto permitirá la implementación a través de los </w:t>
      </w:r>
      <w:r w:rsidRPr="002D555A">
        <w:rPr>
          <w:b/>
          <w:lang w:val="es-ES"/>
        </w:rPr>
        <w:t xml:space="preserve">Planes Estratégicos Nacionales en línea con el </w:t>
      </w:r>
      <w:r w:rsidRPr="002D555A">
        <w:rPr>
          <w:b/>
          <w:i/>
          <w:lang w:val="es-ES"/>
        </w:rPr>
        <w:t>Green Deal</w:t>
      </w:r>
      <w:r w:rsidRPr="003F1541">
        <w:rPr>
          <w:lang w:val="es-ES"/>
        </w:rPr>
        <w:t xml:space="preserve"> y sus estrategias </w:t>
      </w:r>
      <w:r w:rsidRPr="002D555A">
        <w:rPr>
          <w:b/>
          <w:lang w:val="es-ES"/>
        </w:rPr>
        <w:t xml:space="preserve">de la granja a la mesa </w:t>
      </w:r>
      <w:r w:rsidRPr="002D555A">
        <w:rPr>
          <w:lang w:val="es-ES"/>
        </w:rPr>
        <w:t>y la</w:t>
      </w:r>
      <w:r w:rsidR="002D555A" w:rsidRPr="002D555A">
        <w:rPr>
          <w:lang w:val="es-ES"/>
        </w:rPr>
        <w:t xml:space="preserve"> de</w:t>
      </w:r>
      <w:r w:rsidRPr="002D555A">
        <w:rPr>
          <w:b/>
          <w:lang w:val="es-ES"/>
        </w:rPr>
        <w:t xml:space="preserve"> biodiversidad</w:t>
      </w:r>
      <w:r w:rsidRPr="003F1541">
        <w:rPr>
          <w:lang w:val="es-ES"/>
        </w:rPr>
        <w:t>. También introduce nuevas herramientas que, combinadas con la nueva forma de trabajar, permitirán un desempeño ambiental, climático y de bienestar animal más eficiente y mejor orientado:</w:t>
      </w:r>
    </w:p>
    <w:p w14:paraId="27CBB8CF" w14:textId="77777777" w:rsidR="002D555A" w:rsidRDefault="003F1541" w:rsidP="003F1541">
      <w:pPr>
        <w:rPr>
          <w:lang w:val="es-ES"/>
        </w:rPr>
      </w:pPr>
      <w:r w:rsidRPr="002D555A">
        <w:rPr>
          <w:b/>
          <w:lang w:val="es-ES"/>
        </w:rPr>
        <w:t>Coherencia con el Pacto Verde Europeo:</w:t>
      </w:r>
      <w:r w:rsidRPr="003F1541">
        <w:rPr>
          <w:lang w:val="es-ES"/>
        </w:rPr>
        <w:t xml:space="preserve"> </w:t>
      </w:r>
    </w:p>
    <w:p w14:paraId="4D7DAC19" w14:textId="77777777" w:rsidR="002D555A" w:rsidRDefault="003F1541" w:rsidP="002D555A">
      <w:pPr>
        <w:pStyle w:val="Prrafodelista"/>
        <w:numPr>
          <w:ilvl w:val="0"/>
          <w:numId w:val="6"/>
        </w:numPr>
        <w:rPr>
          <w:lang w:val="es-ES"/>
        </w:rPr>
      </w:pPr>
      <w:r w:rsidRPr="002D555A">
        <w:rPr>
          <w:lang w:val="es-ES"/>
        </w:rPr>
        <w:t>La nueva PAC integrará plenamente la legislación medioambiental y climática de la UE.</w:t>
      </w:r>
    </w:p>
    <w:p w14:paraId="69401F2F" w14:textId="77777777" w:rsidR="002D555A" w:rsidRDefault="003F1541" w:rsidP="002D555A">
      <w:pPr>
        <w:pStyle w:val="Prrafodelista"/>
        <w:numPr>
          <w:ilvl w:val="0"/>
          <w:numId w:val="6"/>
        </w:numPr>
        <w:rPr>
          <w:lang w:val="es-ES"/>
        </w:rPr>
      </w:pPr>
      <w:r w:rsidRPr="002D555A">
        <w:rPr>
          <w:lang w:val="es-ES"/>
        </w:rPr>
        <w:t xml:space="preserve"> Los planes de la PAC contribuirán a los objetivos de las estrategias de la granja a la mesa y de biodiversidad, y </w:t>
      </w:r>
    </w:p>
    <w:p w14:paraId="5BF941B0" w14:textId="77777777" w:rsidR="003F1541" w:rsidRPr="002D555A" w:rsidRDefault="003F1541" w:rsidP="002D555A">
      <w:pPr>
        <w:pStyle w:val="Prrafodelista"/>
        <w:numPr>
          <w:ilvl w:val="0"/>
          <w:numId w:val="6"/>
        </w:numPr>
        <w:rPr>
          <w:lang w:val="es-ES"/>
        </w:rPr>
      </w:pPr>
      <w:r w:rsidRPr="002D555A">
        <w:rPr>
          <w:lang w:val="es-ES"/>
        </w:rPr>
        <w:t>se actualizarán para tener en cuenta los cambios en la legislación climática y medioambiental del Pacto Verde Europeo.</w:t>
      </w:r>
    </w:p>
    <w:p w14:paraId="0459E132" w14:textId="77777777" w:rsidR="002D555A" w:rsidRDefault="003F1541" w:rsidP="003F1541">
      <w:pPr>
        <w:rPr>
          <w:lang w:val="es-ES"/>
        </w:rPr>
      </w:pPr>
      <w:r w:rsidRPr="002D555A">
        <w:rPr>
          <w:b/>
          <w:lang w:val="es-ES"/>
        </w:rPr>
        <w:t>Condicionalidad:</w:t>
      </w:r>
      <w:r w:rsidRPr="003F1541">
        <w:rPr>
          <w:lang w:val="es-ES"/>
        </w:rPr>
        <w:t xml:space="preserve"> </w:t>
      </w:r>
    </w:p>
    <w:p w14:paraId="0720EFFE" w14:textId="77777777" w:rsidR="002D555A" w:rsidRDefault="003F1541" w:rsidP="002D555A">
      <w:pPr>
        <w:pStyle w:val="Prrafodelista"/>
        <w:numPr>
          <w:ilvl w:val="0"/>
          <w:numId w:val="6"/>
        </w:numPr>
        <w:rPr>
          <w:lang w:val="es-ES"/>
        </w:rPr>
      </w:pPr>
      <w:r w:rsidRPr="003F1541">
        <w:rPr>
          <w:lang w:val="es-ES"/>
        </w:rPr>
        <w:t xml:space="preserve">los requisitos mínimos que deben cumplir los beneficiarios de la PAC para recibir ayuda son ahora más ambiciosos. </w:t>
      </w:r>
    </w:p>
    <w:p w14:paraId="15A398ED" w14:textId="77777777" w:rsidR="003F1541" w:rsidRPr="003F1541" w:rsidRDefault="003F1541" w:rsidP="002D555A">
      <w:pPr>
        <w:pStyle w:val="Prrafodelista"/>
        <w:numPr>
          <w:ilvl w:val="1"/>
          <w:numId w:val="6"/>
        </w:numPr>
        <w:rPr>
          <w:lang w:val="es-ES"/>
        </w:rPr>
      </w:pPr>
      <w:r w:rsidRPr="003F1541">
        <w:rPr>
          <w:lang w:val="es-ES"/>
        </w:rPr>
        <w:t xml:space="preserve">Por ejemplo, en cada finca al menos el 3% de la tierra cultivable se dedicará a la biodiversidad y elementos no productivos, con la posibilidad de recibir un apoyo a través de </w:t>
      </w:r>
      <w:r w:rsidRPr="002D555A">
        <w:rPr>
          <w:b/>
          <w:lang w:val="es-ES"/>
        </w:rPr>
        <w:t>ecosistemas</w:t>
      </w:r>
      <w:r w:rsidRPr="003F1541">
        <w:rPr>
          <w:lang w:val="es-ES"/>
        </w:rPr>
        <w:t xml:space="preserve"> para alcanzar el 7%.</w:t>
      </w:r>
    </w:p>
    <w:p w14:paraId="402E71AC" w14:textId="77777777" w:rsidR="002D555A" w:rsidRDefault="003F1541" w:rsidP="002D555A">
      <w:pPr>
        <w:pStyle w:val="Prrafodelista"/>
        <w:numPr>
          <w:ilvl w:val="0"/>
          <w:numId w:val="6"/>
        </w:numPr>
        <w:rPr>
          <w:lang w:val="es-ES"/>
        </w:rPr>
      </w:pPr>
      <w:r w:rsidRPr="002D555A">
        <w:rPr>
          <w:b/>
          <w:lang w:val="es-ES"/>
        </w:rPr>
        <w:t>Todos los humedales y turberas estarán protegidos</w:t>
      </w:r>
      <w:r w:rsidRPr="003F1541">
        <w:rPr>
          <w:lang w:val="es-ES"/>
        </w:rPr>
        <w:t>.</w:t>
      </w:r>
    </w:p>
    <w:p w14:paraId="50CBA874" w14:textId="77777777" w:rsidR="002D555A" w:rsidRDefault="003F1541" w:rsidP="002D555A">
      <w:pPr>
        <w:pStyle w:val="Prrafodelista"/>
        <w:numPr>
          <w:ilvl w:val="1"/>
          <w:numId w:val="6"/>
        </w:numPr>
        <w:rPr>
          <w:lang w:val="es-ES"/>
        </w:rPr>
      </w:pPr>
      <w:r w:rsidRPr="003F1541">
        <w:rPr>
          <w:lang w:val="es-ES"/>
        </w:rPr>
        <w:t xml:space="preserve"> Será obligatorio que los Estados miembros ofrezcan </w:t>
      </w:r>
      <w:r w:rsidRPr="002D555A">
        <w:rPr>
          <w:b/>
          <w:lang w:val="es-ES"/>
        </w:rPr>
        <w:t>Eco</w:t>
      </w:r>
      <w:r w:rsidR="002D555A" w:rsidRPr="002D555A">
        <w:rPr>
          <w:b/>
          <w:lang w:val="es-ES"/>
        </w:rPr>
        <w:t>esquemas</w:t>
      </w:r>
      <w:r w:rsidRPr="003F1541">
        <w:rPr>
          <w:lang w:val="es-ES"/>
        </w:rPr>
        <w:t xml:space="preserve">. </w:t>
      </w:r>
    </w:p>
    <w:p w14:paraId="300A433B" w14:textId="77777777" w:rsidR="003F1541" w:rsidRPr="003F1541" w:rsidRDefault="003F1541" w:rsidP="002D555A">
      <w:pPr>
        <w:pStyle w:val="Prrafodelista"/>
        <w:numPr>
          <w:ilvl w:val="1"/>
          <w:numId w:val="6"/>
        </w:numPr>
        <w:rPr>
          <w:lang w:val="es-ES"/>
        </w:rPr>
      </w:pPr>
      <w:r w:rsidRPr="003F1541">
        <w:rPr>
          <w:lang w:val="es-ES"/>
        </w:rPr>
        <w:t xml:space="preserve">Este nuevo </w:t>
      </w:r>
      <w:r w:rsidRPr="002D555A">
        <w:rPr>
          <w:b/>
          <w:lang w:val="es-ES"/>
        </w:rPr>
        <w:t xml:space="preserve">instrumento voluntario recompensará a los agricultores por implementar prácticas respetuosas con el clima y el medio ambiente </w:t>
      </w:r>
      <w:r w:rsidRPr="003F1541">
        <w:rPr>
          <w:lang w:val="es-ES"/>
        </w:rPr>
        <w:t>(agricultura orgánica, agroecología, manejo integrado de plagas, etc.), así como mejoras en el bienestar animal.</w:t>
      </w:r>
    </w:p>
    <w:p w14:paraId="14C20727" w14:textId="77777777" w:rsidR="003F1541" w:rsidRPr="003F1541" w:rsidRDefault="003F1541" w:rsidP="003F1541">
      <w:pPr>
        <w:rPr>
          <w:lang w:val="es-ES"/>
        </w:rPr>
      </w:pPr>
    </w:p>
    <w:p w14:paraId="7299190A" w14:textId="77777777" w:rsidR="003F1541" w:rsidRPr="002D555A" w:rsidRDefault="003F1541" w:rsidP="003F1541">
      <w:pPr>
        <w:rPr>
          <w:b/>
          <w:lang w:val="es-ES"/>
        </w:rPr>
      </w:pPr>
      <w:r w:rsidRPr="002D555A">
        <w:rPr>
          <w:b/>
          <w:lang w:val="es-ES"/>
        </w:rPr>
        <w:lastRenderedPageBreak/>
        <w:t xml:space="preserve">Los Estados miembros deben asignar al menos el 25% de su presupuesto de apoyo a la renta a los ecosistemas, </w:t>
      </w:r>
      <w:r w:rsidRPr="002D555A">
        <w:rPr>
          <w:lang w:val="es-ES"/>
        </w:rPr>
        <w:t>un total de 48 000 millones del presupuesto de pagos directos.</w:t>
      </w:r>
    </w:p>
    <w:p w14:paraId="76628579" w14:textId="77777777" w:rsidR="003F1541" w:rsidRPr="003F1541" w:rsidRDefault="003F1541" w:rsidP="003F1541">
      <w:pPr>
        <w:rPr>
          <w:lang w:val="es-ES"/>
        </w:rPr>
      </w:pPr>
      <w:r w:rsidRPr="002D555A">
        <w:rPr>
          <w:b/>
          <w:lang w:val="es-ES"/>
        </w:rPr>
        <w:t>Al menos el 35% de los fondos de desarrollo rural se destinarán a compromisos agroambientales</w:t>
      </w:r>
      <w:r w:rsidRPr="003F1541">
        <w:rPr>
          <w:lang w:val="es-ES"/>
        </w:rPr>
        <w:t>, que promueven prácticas ambientales, climáticas y de bienestar animal.</w:t>
      </w:r>
    </w:p>
    <w:p w14:paraId="3CA76214" w14:textId="77777777" w:rsidR="003F1541" w:rsidRDefault="003F1541" w:rsidP="003F1541">
      <w:pPr>
        <w:rPr>
          <w:lang w:val="es-ES"/>
        </w:rPr>
      </w:pPr>
      <w:r w:rsidRPr="003F1541">
        <w:rPr>
          <w:lang w:val="es-ES"/>
        </w:rPr>
        <w:t>El presupuesto de la PAC debe contribuir significativamente al gasto climático global de la Unión. Para garantizar un cálculo realista y sólido, para 2025 la Comisión propondrá un enfoque nuevo y diferenciado que vaya más allá de los métodos existentes.</w:t>
      </w:r>
    </w:p>
    <w:p w14:paraId="7C6A5B20" w14:textId="77777777" w:rsidR="003F1541" w:rsidRPr="003F1541" w:rsidRDefault="003F1541" w:rsidP="002D555A">
      <w:pPr>
        <w:pStyle w:val="Ttulo2"/>
        <w:rPr>
          <w:lang w:val="es-ES"/>
        </w:rPr>
      </w:pPr>
      <w:r w:rsidRPr="003F1541">
        <w:rPr>
          <w:lang w:val="es-ES"/>
        </w:rPr>
        <w:t>Una PAC más flexible</w:t>
      </w:r>
    </w:p>
    <w:p w14:paraId="1736CDDE" w14:textId="77777777" w:rsidR="003F1541" w:rsidRPr="003F1541" w:rsidRDefault="003F1541" w:rsidP="003F1541">
      <w:pPr>
        <w:rPr>
          <w:lang w:val="es-ES"/>
        </w:rPr>
      </w:pPr>
    </w:p>
    <w:p w14:paraId="2C847F36" w14:textId="77777777" w:rsidR="003F1541" w:rsidRPr="003F1541" w:rsidRDefault="003F1541" w:rsidP="003F1541">
      <w:pPr>
        <w:rPr>
          <w:lang w:val="es-ES"/>
        </w:rPr>
      </w:pPr>
      <w:r w:rsidRPr="003F1541">
        <w:rPr>
          <w:lang w:val="es-ES"/>
        </w:rPr>
        <w:t xml:space="preserve">La nueva PAC introduce una nueva forma de trabajo, en la que cada Estado miembro redactará un plan estratégico nacional de la PAC que describa cómo se lograrán los objetivos de la PAC, así como los objetivos del Pacto Verde, tal como se describen en las Estrategias </w:t>
      </w:r>
      <w:r w:rsidRPr="002D555A">
        <w:rPr>
          <w:b/>
          <w:lang w:val="es-ES"/>
        </w:rPr>
        <w:t>de la granja a la mesa</w:t>
      </w:r>
      <w:r w:rsidRPr="003F1541">
        <w:rPr>
          <w:lang w:val="es-ES"/>
        </w:rPr>
        <w:t xml:space="preserve"> y la</w:t>
      </w:r>
      <w:r w:rsidR="002D555A">
        <w:rPr>
          <w:lang w:val="es-ES"/>
        </w:rPr>
        <w:t xml:space="preserve"> de</w:t>
      </w:r>
      <w:r w:rsidRPr="003F1541">
        <w:rPr>
          <w:lang w:val="es-ES"/>
        </w:rPr>
        <w:t xml:space="preserve"> </w:t>
      </w:r>
      <w:r w:rsidRPr="002D555A">
        <w:rPr>
          <w:b/>
          <w:lang w:val="es-ES"/>
        </w:rPr>
        <w:t>biodiversidad</w:t>
      </w:r>
      <w:r w:rsidRPr="003F1541">
        <w:rPr>
          <w:lang w:val="es-ES"/>
        </w:rPr>
        <w:t>.</w:t>
      </w:r>
    </w:p>
    <w:p w14:paraId="721111FB" w14:textId="77777777" w:rsidR="003F1541" w:rsidRPr="003F1541" w:rsidRDefault="003F1541" w:rsidP="003F1541">
      <w:pPr>
        <w:rPr>
          <w:lang w:val="es-ES"/>
        </w:rPr>
      </w:pPr>
    </w:p>
    <w:p w14:paraId="13EBC272" w14:textId="77777777" w:rsidR="003F1541" w:rsidRPr="003F1541" w:rsidRDefault="003F1541" w:rsidP="003F1541">
      <w:pPr>
        <w:rPr>
          <w:lang w:val="es-ES"/>
        </w:rPr>
      </w:pPr>
      <w:r w:rsidRPr="003F1541">
        <w:rPr>
          <w:lang w:val="es-ES"/>
        </w:rPr>
        <w:t>Además, el nuevo CAP se centra en el rendimiento gracias a:</w:t>
      </w:r>
    </w:p>
    <w:p w14:paraId="568F576B" w14:textId="77777777" w:rsidR="003F1541" w:rsidRPr="003F1541" w:rsidRDefault="003F1541" w:rsidP="003F1541">
      <w:pPr>
        <w:rPr>
          <w:lang w:val="es-ES"/>
        </w:rPr>
      </w:pPr>
    </w:p>
    <w:p w14:paraId="54199310" w14:textId="272F242D" w:rsidR="003F1541" w:rsidRPr="00B920A8" w:rsidRDefault="003F1541" w:rsidP="003F1541">
      <w:pPr>
        <w:rPr>
          <w:color w:val="FF0000"/>
          <w:lang w:val="es-ES"/>
        </w:rPr>
      </w:pPr>
      <w:r w:rsidRPr="003F1541">
        <w:rPr>
          <w:lang w:val="es-ES"/>
        </w:rPr>
        <w:t>1.-Normas más sencillas a nivel de la UE.</w:t>
      </w:r>
      <w:r w:rsidR="00B920A8">
        <w:rPr>
          <w:lang w:val="es-ES"/>
        </w:rPr>
        <w:t xml:space="preserve"> </w:t>
      </w:r>
      <w:r w:rsidR="00B920A8">
        <w:rPr>
          <w:color w:val="FF0000"/>
          <w:lang w:val="es-ES"/>
        </w:rPr>
        <w:t xml:space="preserve">Pero los agricultores se quejan de que la burocracia (ahora electrónica) ha aumentado y que muchos agricultores mayores tienes dificultades para rellenar tantos formularios en línea. Además, se quejan de un aumento de los controles administrativos para vigilar las mejoras </w:t>
      </w:r>
      <w:proofErr w:type="gramStart"/>
      <w:r w:rsidR="00B920A8">
        <w:rPr>
          <w:color w:val="FF0000"/>
          <w:lang w:val="es-ES"/>
        </w:rPr>
        <w:t>medioambientales</w:t>
      </w:r>
      <w:proofErr w:type="gramEnd"/>
      <w:r w:rsidR="00B920A8">
        <w:rPr>
          <w:color w:val="FF0000"/>
          <w:lang w:val="es-ES"/>
        </w:rPr>
        <w:t xml:space="preserve"> pero sin una contrapartida económica suficiente para compensar estas tareas de conservación.</w:t>
      </w:r>
    </w:p>
    <w:p w14:paraId="742BBBEE" w14:textId="77777777" w:rsidR="003F1541" w:rsidRPr="003F1541" w:rsidRDefault="003F1541" w:rsidP="003F1541">
      <w:pPr>
        <w:rPr>
          <w:lang w:val="es-ES"/>
        </w:rPr>
      </w:pPr>
    </w:p>
    <w:p w14:paraId="4CD5819C" w14:textId="77777777" w:rsidR="003F1541" w:rsidRPr="003F1541" w:rsidRDefault="003F1541" w:rsidP="003F1541">
      <w:pPr>
        <w:rPr>
          <w:lang w:val="es-ES"/>
        </w:rPr>
      </w:pPr>
      <w:r w:rsidRPr="003F1541">
        <w:rPr>
          <w:lang w:val="es-ES"/>
        </w:rPr>
        <w:t xml:space="preserve">2.-Un informe anual de </w:t>
      </w:r>
      <w:r w:rsidR="002D555A">
        <w:rPr>
          <w:lang w:val="es-ES"/>
        </w:rPr>
        <w:t>cumplimiento</w:t>
      </w:r>
      <w:r w:rsidRPr="003F1541">
        <w:rPr>
          <w:lang w:val="es-ES"/>
        </w:rPr>
        <w:t xml:space="preserve"> que los Estados Miembros presentarán a la Comisión a partir de 2024, complementado con una reunión anual de revisión.</w:t>
      </w:r>
    </w:p>
    <w:p w14:paraId="35DA2A18" w14:textId="77777777" w:rsidR="003F1541" w:rsidRPr="003F1541" w:rsidRDefault="003F1541" w:rsidP="003F1541">
      <w:pPr>
        <w:rPr>
          <w:lang w:val="es-ES"/>
        </w:rPr>
      </w:pPr>
    </w:p>
    <w:p w14:paraId="0D8DAE31" w14:textId="77777777" w:rsidR="003F1541" w:rsidRPr="003F1541" w:rsidRDefault="003F1541" w:rsidP="003F1541">
      <w:pPr>
        <w:rPr>
          <w:lang w:val="es-ES"/>
        </w:rPr>
      </w:pPr>
      <w:r w:rsidRPr="003F1541">
        <w:rPr>
          <w:lang w:val="es-ES"/>
        </w:rPr>
        <w:t>3.-La Comisión revisará el desempeño de los planes estratégicos de la PAC en 2025 y 2027, y será seguido, cuando sea necesario, por una solicitud de acción a los Estados miembros por parte de la Comisión.</w:t>
      </w:r>
    </w:p>
    <w:p w14:paraId="0F604E9E" w14:textId="77777777" w:rsidR="003F1541" w:rsidRPr="003F1541" w:rsidRDefault="003F1541" w:rsidP="003F1541">
      <w:pPr>
        <w:rPr>
          <w:lang w:val="es-ES"/>
        </w:rPr>
      </w:pPr>
    </w:p>
    <w:p w14:paraId="7CB4BB71" w14:textId="0AE6EC92" w:rsidR="003F1541" w:rsidRPr="003F1541" w:rsidRDefault="003F1541" w:rsidP="003F1541">
      <w:pPr>
        <w:rPr>
          <w:lang w:val="es-ES"/>
        </w:rPr>
      </w:pPr>
      <w:r w:rsidRPr="003F1541">
        <w:rPr>
          <w:lang w:val="es-ES"/>
        </w:rPr>
        <w:t xml:space="preserve">4.-Un conjunto de indicadores comunes para </w:t>
      </w:r>
      <w:r w:rsidR="00B920A8">
        <w:rPr>
          <w:lang w:val="es-ES"/>
        </w:rPr>
        <w:t>seguir el cumplimiento efectivo</w:t>
      </w:r>
      <w:r w:rsidRPr="003F1541">
        <w:rPr>
          <w:lang w:val="es-ES"/>
        </w:rPr>
        <w:t xml:space="preserve"> de la PAC y evaluar el desempeño de los planes estratégicos de la PAC.</w:t>
      </w:r>
    </w:p>
    <w:p w14:paraId="3C87D929" w14:textId="77777777" w:rsidR="003F1541" w:rsidRPr="003F1541" w:rsidRDefault="003F1541" w:rsidP="003F1541">
      <w:pPr>
        <w:rPr>
          <w:lang w:val="es-ES"/>
        </w:rPr>
      </w:pPr>
    </w:p>
    <w:p w14:paraId="42A2BE28" w14:textId="77777777" w:rsidR="003F1541" w:rsidRPr="003F1541" w:rsidRDefault="003F1541" w:rsidP="003F1541">
      <w:pPr>
        <w:rPr>
          <w:lang w:val="es-ES"/>
        </w:rPr>
      </w:pPr>
      <w:r w:rsidRPr="003F1541">
        <w:rPr>
          <w:lang w:val="es-ES"/>
        </w:rPr>
        <w:t>Se introducirá una nueva reserva agrícola para financiar medidas de mercado en tiempos de crisis, con un presupuesto anual de al menos 450 millones de euros.</w:t>
      </w:r>
    </w:p>
    <w:p w14:paraId="7865CA36" w14:textId="77777777" w:rsidR="003F1541" w:rsidRPr="003F1541" w:rsidRDefault="003F1541" w:rsidP="003F1541">
      <w:pPr>
        <w:rPr>
          <w:lang w:val="es-ES"/>
        </w:rPr>
      </w:pPr>
    </w:p>
    <w:p w14:paraId="740B76F8" w14:textId="77777777" w:rsidR="003F1541" w:rsidRPr="003F1541" w:rsidRDefault="003F1541" w:rsidP="002D555A">
      <w:pPr>
        <w:pStyle w:val="Ttulo2"/>
        <w:rPr>
          <w:lang w:val="es-ES"/>
        </w:rPr>
      </w:pPr>
      <w:r w:rsidRPr="003F1541">
        <w:rPr>
          <w:lang w:val="es-ES"/>
        </w:rPr>
        <w:lastRenderedPageBreak/>
        <w:t>Próximos pasos</w:t>
      </w:r>
    </w:p>
    <w:p w14:paraId="76E003F2" w14:textId="77777777" w:rsidR="003F1541" w:rsidRPr="003F1541" w:rsidRDefault="003F1541" w:rsidP="003F1541">
      <w:pPr>
        <w:rPr>
          <w:lang w:val="es-ES"/>
        </w:rPr>
      </w:pPr>
    </w:p>
    <w:p w14:paraId="429E0ED5" w14:textId="1A64AA33" w:rsidR="003F1541" w:rsidRPr="00B920A8" w:rsidRDefault="003F1541" w:rsidP="003F1541">
      <w:pPr>
        <w:rPr>
          <w:lang w:val="es-ES"/>
        </w:rPr>
      </w:pPr>
      <w:r w:rsidRPr="003F1541">
        <w:rPr>
          <w:lang w:val="es-ES"/>
        </w:rPr>
        <w:t>La nueva PAC, que abarca tres reglamentos (horizontal, del plan estratégico y de la organización común de mercados), debe ser aprobada formalmente por el Parlamento Europeo y adoptada por el Consejo antes de que pueda entrar en vigor.</w:t>
      </w:r>
    </w:p>
    <w:p w14:paraId="44ABE316" w14:textId="77777777" w:rsidR="003F1541" w:rsidRDefault="003F1541" w:rsidP="003F1541">
      <w:pPr>
        <w:pStyle w:val="Ttulo1"/>
        <w:rPr>
          <w:lang w:val="es-ES"/>
        </w:rPr>
      </w:pPr>
      <w:r>
        <w:rPr>
          <w:lang w:val="es-ES"/>
        </w:rPr>
        <w:t>Contexto de la reforma de la PAC</w:t>
      </w:r>
    </w:p>
    <w:p w14:paraId="11339771" w14:textId="77777777" w:rsidR="003F1541" w:rsidRPr="003F1541" w:rsidRDefault="003F1541" w:rsidP="003F1541">
      <w:pPr>
        <w:rPr>
          <w:lang w:val="es-ES"/>
        </w:rPr>
      </w:pPr>
    </w:p>
    <w:p w14:paraId="0345725E" w14:textId="77777777" w:rsidR="003F1541" w:rsidRPr="003F1541" w:rsidRDefault="003F1541" w:rsidP="003F1541">
      <w:pPr>
        <w:rPr>
          <w:lang w:val="es-ES"/>
        </w:rPr>
      </w:pPr>
      <w:r w:rsidRPr="003F1541">
        <w:rPr>
          <w:lang w:val="es-ES"/>
        </w:rPr>
        <w:t xml:space="preserve">La política agraria </w:t>
      </w:r>
      <w:r w:rsidR="002D555A">
        <w:rPr>
          <w:lang w:val="es-ES"/>
        </w:rPr>
        <w:t>ha venido</w:t>
      </w:r>
      <w:r w:rsidRPr="003F1541">
        <w:rPr>
          <w:lang w:val="es-ES"/>
        </w:rPr>
        <w:t xml:space="preserve"> siendo criticada desde distintos puntos de vista que suelen incluir propuestas de reforma para el horizonte presupuestario 2021-2027. </w:t>
      </w:r>
    </w:p>
    <w:p w14:paraId="1A4128FD" w14:textId="77777777" w:rsidR="003F1541" w:rsidRDefault="003F1541" w:rsidP="003F1541">
      <w:pPr>
        <w:rPr>
          <w:lang w:val="es-ES"/>
        </w:rPr>
      </w:pPr>
      <w:r w:rsidRPr="003F1541">
        <w:rPr>
          <w:lang w:val="es-ES"/>
        </w:rPr>
        <w:t xml:space="preserve">De hecho, estas propuestas, han tenido un primer efecto en la propuesta de presupuesto agrario que la Comisión remitió al Consejo de Ministros de Agricultura, ya que contenía una </w:t>
      </w:r>
      <w:r w:rsidRPr="00B920A8">
        <w:rPr>
          <w:color w:val="FF0000"/>
          <w:lang w:val="es-ES"/>
        </w:rPr>
        <w:t xml:space="preserve">reducción del gasto presupuestado para la PAC de entre 6 y el 10 por ciento </w:t>
      </w:r>
      <w:r w:rsidRPr="003F1541">
        <w:rPr>
          <w:lang w:val="es-ES"/>
        </w:rPr>
        <w:t>de las perspectivas presupuestarias anteriores.</w:t>
      </w:r>
      <w:r>
        <w:rPr>
          <w:lang w:val="es-ES"/>
        </w:rPr>
        <w:t xml:space="preserve"> De hecho las ayudas a los agricultores han venido cayendo desde 1990 hasta llegar a un nivel similar al del resto de los países de la OCDE. Además, </w:t>
      </w:r>
      <w:r w:rsidRPr="002D555A">
        <w:rPr>
          <w:b/>
          <w:lang w:val="es-ES"/>
        </w:rPr>
        <w:t xml:space="preserve">ha cambiado la estructura de las ayudas, perdiendo peso los fondos dedicados al sostenimiento de los precios y ganando relevancia las ayudas directas a los agricultores </w:t>
      </w:r>
      <w:r w:rsidRPr="003F1541">
        <w:rPr>
          <w:lang w:val="es-ES"/>
        </w:rPr>
        <w:t>(</w:t>
      </w:r>
      <w:r w:rsidR="002D555A" w:rsidRPr="002D555A">
        <w:rPr>
          <w:b/>
          <w:lang w:val="es-ES"/>
        </w:rPr>
        <w:t>94% en 2020-21</w:t>
      </w:r>
      <w:r w:rsidR="002D555A">
        <w:rPr>
          <w:lang w:val="es-ES"/>
        </w:rPr>
        <w:t xml:space="preserve"> subiendo desde el </w:t>
      </w:r>
      <w:r w:rsidRPr="003F1541">
        <w:rPr>
          <w:lang w:val="es-ES"/>
        </w:rPr>
        <w:t xml:space="preserve">89% </w:t>
      </w:r>
      <w:r w:rsidR="002D555A">
        <w:rPr>
          <w:lang w:val="es-ES"/>
        </w:rPr>
        <w:t>e</w:t>
      </w:r>
      <w:r w:rsidRPr="003F1541">
        <w:rPr>
          <w:lang w:val="es-ES"/>
        </w:rPr>
        <w:t>n 2017-19</w:t>
      </w:r>
      <w:r>
        <w:rPr>
          <w:lang w:val="es-ES"/>
        </w:rPr>
        <w:t>; OCDE, 2020</w:t>
      </w:r>
      <w:r w:rsidR="002D555A">
        <w:rPr>
          <w:lang w:val="es-ES"/>
        </w:rPr>
        <w:t>; 2021</w:t>
      </w:r>
      <w:r w:rsidRPr="003F1541">
        <w:rPr>
          <w:lang w:val="es-ES"/>
        </w:rPr>
        <w:t>)</w:t>
      </w:r>
      <w:r>
        <w:rPr>
          <w:lang w:val="es-ES"/>
        </w:rPr>
        <w:t xml:space="preserve">. </w:t>
      </w:r>
      <w:r w:rsidRPr="00B920A8">
        <w:rPr>
          <w:color w:val="FF0000"/>
          <w:lang w:val="es-ES"/>
        </w:rPr>
        <w:t>También han caído las inversiones en infraestructuras y bienes públicos en las zonas rurales</w:t>
      </w:r>
      <w:r>
        <w:rPr>
          <w:lang w:val="es-ES"/>
        </w:rPr>
        <w:t xml:space="preserve"> (OCDE, 2020; 2021).</w:t>
      </w:r>
    </w:p>
    <w:p w14:paraId="50CE252A" w14:textId="77777777" w:rsidR="003F1541" w:rsidRPr="003F1541" w:rsidRDefault="003F1541" w:rsidP="003F1541">
      <w:pPr>
        <w:rPr>
          <w:lang w:val="es-ES"/>
        </w:rPr>
      </w:pPr>
      <w:r w:rsidRPr="00B920A8">
        <w:rPr>
          <w:b/>
          <w:color w:val="FF0000"/>
          <w:lang w:val="es-ES"/>
        </w:rPr>
        <w:t>El esfuerzo fiscal de los gastos de la PAC ha caído 4 puntos</w:t>
      </w:r>
      <w:r>
        <w:rPr>
          <w:lang w:val="es-ES"/>
        </w:rPr>
        <w:t xml:space="preserve"> básicos en términos de PIB entre 2000-02 y 2018-20 (OCDE, 2021</w:t>
      </w:r>
      <w:r w:rsidRPr="003F1541">
        <w:rPr>
          <w:lang w:val="es-ES"/>
        </w:rPr>
        <w:t>)</w:t>
      </w:r>
      <w:r>
        <w:rPr>
          <w:lang w:val="es-ES"/>
        </w:rPr>
        <w:t>.</w:t>
      </w:r>
    </w:p>
    <w:p w14:paraId="0F749008" w14:textId="77777777" w:rsidR="00150FE3" w:rsidRPr="003F1541" w:rsidRDefault="00150FE3" w:rsidP="003F1541">
      <w:pPr>
        <w:pStyle w:val="Ttulo1"/>
        <w:rPr>
          <w:lang w:val="es-ES"/>
        </w:rPr>
      </w:pPr>
      <w:r w:rsidRPr="003F1541">
        <w:rPr>
          <w:lang w:val="es-ES"/>
        </w:rPr>
        <w:t>Futuro de la PAC</w:t>
      </w:r>
    </w:p>
    <w:p w14:paraId="05C6393C" w14:textId="77777777" w:rsidR="00150FE3" w:rsidRPr="003F1541" w:rsidRDefault="00150FE3" w:rsidP="00150FE3">
      <w:pPr>
        <w:rPr>
          <w:lang w:val="es-ES"/>
        </w:rPr>
      </w:pPr>
    </w:p>
    <w:p w14:paraId="208E5A5C" w14:textId="77777777" w:rsidR="00150FE3" w:rsidRPr="00150FE3" w:rsidRDefault="00150FE3" w:rsidP="00150FE3">
      <w:pPr>
        <w:rPr>
          <w:lang w:val="es-ES"/>
        </w:rPr>
      </w:pPr>
      <w:r>
        <w:rPr>
          <w:lang w:val="es-ES"/>
        </w:rPr>
        <w:t>L</w:t>
      </w:r>
      <w:r w:rsidRPr="00150FE3">
        <w:rPr>
          <w:lang w:val="es-ES"/>
        </w:rPr>
        <w:t>a PAC ha ido evolucionando a lo largo de los a</w:t>
      </w:r>
      <w:r>
        <w:rPr>
          <w:lang w:val="es-ES"/>
        </w:rPr>
        <w:t>ñ</w:t>
      </w:r>
      <w:r w:rsidRPr="00150FE3">
        <w:rPr>
          <w:lang w:val="es-ES"/>
        </w:rPr>
        <w:t>os en respuesta a circunstancias econ</w:t>
      </w:r>
      <w:r>
        <w:rPr>
          <w:rFonts w:ascii="Calibri" w:hAnsi="Calibri" w:cs="Calibri"/>
          <w:lang w:val="es-ES"/>
        </w:rPr>
        <w:t>ó</w:t>
      </w:r>
      <w:r w:rsidRPr="00150FE3">
        <w:rPr>
          <w:lang w:val="es-ES"/>
        </w:rPr>
        <w:t>micas cambiantes y a las exigencias de los ciudadanos.</w:t>
      </w:r>
    </w:p>
    <w:p w14:paraId="102D51AB" w14:textId="77777777" w:rsidR="00150FE3" w:rsidRPr="00150FE3" w:rsidRDefault="00150FE3" w:rsidP="00150FE3">
      <w:pPr>
        <w:rPr>
          <w:lang w:val="es-ES"/>
        </w:rPr>
      </w:pPr>
      <w:r w:rsidRPr="00150FE3">
        <w:rPr>
          <w:lang w:val="es-ES"/>
        </w:rPr>
        <w:t>El 1 de junio de 2018, la Comisi</w:t>
      </w:r>
      <w:r>
        <w:rPr>
          <w:lang w:val="es-ES"/>
        </w:rPr>
        <w:t>ó</w:t>
      </w:r>
      <w:r w:rsidRPr="00150FE3">
        <w:rPr>
          <w:lang w:val="es-ES"/>
        </w:rPr>
        <w:t>n Europea present</w:t>
      </w:r>
      <w:r>
        <w:rPr>
          <w:rFonts w:ascii="Calibri" w:hAnsi="Calibri" w:cs="Calibri"/>
          <w:lang w:val="es-ES"/>
        </w:rPr>
        <w:t>ó</w:t>
      </w:r>
      <w:r w:rsidRPr="00150FE3">
        <w:rPr>
          <w:lang w:val="es-ES"/>
        </w:rPr>
        <w:t xml:space="preserve"> las propuestas legislativas sobre el futuro de la PAC.</w:t>
      </w:r>
    </w:p>
    <w:p w14:paraId="35A2C338" w14:textId="77777777" w:rsidR="00150FE3" w:rsidRPr="00150FE3" w:rsidRDefault="00150FE3" w:rsidP="00150FE3">
      <w:pPr>
        <w:rPr>
          <w:lang w:val="es-ES"/>
        </w:rPr>
      </w:pPr>
      <w:r w:rsidRPr="00150FE3">
        <w:rPr>
          <w:lang w:val="es-ES"/>
        </w:rPr>
        <w:t xml:space="preserve">Las propuestas resumen el camino a seguir por la PAC y definen una </w:t>
      </w:r>
      <w:r>
        <w:rPr>
          <w:lang w:val="es-ES"/>
        </w:rPr>
        <w:t>política</w:t>
      </w:r>
      <w:r w:rsidRPr="00150FE3">
        <w:rPr>
          <w:lang w:val="es-ES"/>
        </w:rPr>
        <w:t xml:space="preserve"> </w:t>
      </w:r>
      <w:r>
        <w:rPr>
          <w:lang w:val="es-ES"/>
        </w:rPr>
        <w:t>más</w:t>
      </w:r>
      <w:r w:rsidR="003F1541">
        <w:rPr>
          <w:lang w:val="es-ES"/>
        </w:rPr>
        <w:t xml:space="preserve"> </w:t>
      </w:r>
      <w:r w:rsidRPr="00150FE3">
        <w:rPr>
          <w:lang w:val="es-ES"/>
        </w:rPr>
        <w:t xml:space="preserve">sencilla y eficiente, que incorpora las ambiciones sostenibles del Pacto Verde Europeo. </w:t>
      </w:r>
      <w:r w:rsidR="003F1541" w:rsidRPr="00150FE3">
        <w:rPr>
          <w:lang w:val="es-ES"/>
        </w:rPr>
        <w:t>Est</w:t>
      </w:r>
      <w:r w:rsidR="003F1541">
        <w:rPr>
          <w:rFonts w:ascii="Calibri" w:hAnsi="Calibri" w:cs="Calibri"/>
          <w:lang w:val="es-ES"/>
        </w:rPr>
        <w:t>á</w:t>
      </w:r>
      <w:r w:rsidRPr="00150FE3">
        <w:rPr>
          <w:lang w:val="es-ES"/>
        </w:rPr>
        <w:t xml:space="preserve"> previsto que la futura reforma de la PAC se aplique a partir del 1 de enero de 2023, </w:t>
      </w:r>
      <w:r w:rsidR="002D555A">
        <w:rPr>
          <w:lang w:val="es-ES"/>
        </w:rPr>
        <w:t>ya que después de una larga discusión sobre el tamaño del presupuesto han llegado a un</w:t>
      </w:r>
      <w:r w:rsidRPr="00150FE3">
        <w:rPr>
          <w:lang w:val="es-ES"/>
        </w:rPr>
        <w:t xml:space="preserve"> acuerdo el Parlamento Europeo y el Consejo de la UE.</w:t>
      </w:r>
    </w:p>
    <w:p w14:paraId="40281ABA" w14:textId="77777777" w:rsidR="00150FE3" w:rsidRPr="00150FE3" w:rsidRDefault="00150FE3" w:rsidP="00150FE3">
      <w:pPr>
        <w:rPr>
          <w:lang w:val="es-ES"/>
        </w:rPr>
      </w:pPr>
    </w:p>
    <w:p w14:paraId="5D96342D" w14:textId="77777777" w:rsidR="00150FE3" w:rsidRPr="00150FE3" w:rsidRDefault="00150FE3" w:rsidP="00150FE3">
      <w:pPr>
        <w:pStyle w:val="Ttulo2"/>
        <w:rPr>
          <w:lang w:val="es-ES"/>
        </w:rPr>
      </w:pPr>
      <w:r w:rsidRPr="00150FE3">
        <w:rPr>
          <w:lang w:val="es-ES"/>
        </w:rPr>
        <w:t>Alte</w:t>
      </w:r>
      <w:r>
        <w:rPr>
          <w:lang w:val="es-ES"/>
        </w:rPr>
        <w:t>rnativas de reforma de la CAP</w:t>
      </w:r>
    </w:p>
    <w:p w14:paraId="665C7DAF" w14:textId="77777777" w:rsidR="00150FE3" w:rsidRPr="00150FE3" w:rsidRDefault="00150FE3" w:rsidP="00150FE3">
      <w:pPr>
        <w:rPr>
          <w:lang w:val="es-ES"/>
        </w:rPr>
      </w:pPr>
    </w:p>
    <w:p w14:paraId="054E8C87" w14:textId="77777777" w:rsidR="00150FE3" w:rsidRPr="00150FE3" w:rsidRDefault="00150FE3" w:rsidP="00150FE3">
      <w:pPr>
        <w:rPr>
          <w:lang w:val="es-ES"/>
        </w:rPr>
      </w:pPr>
      <w:r w:rsidRPr="00150FE3">
        <w:rPr>
          <w:lang w:val="es-ES"/>
        </w:rPr>
        <w:t xml:space="preserve">La </w:t>
      </w:r>
      <w:r>
        <w:rPr>
          <w:lang w:val="es-ES"/>
        </w:rPr>
        <w:t xml:space="preserve">política </w:t>
      </w:r>
      <w:r w:rsidRPr="00150FE3">
        <w:rPr>
          <w:lang w:val="es-ES"/>
        </w:rPr>
        <w:t>agraria viene siendo criticada desde distintos puntos de vista que usualmente incluyen propuestas de reforma para el pr</w:t>
      </w:r>
      <w:r>
        <w:rPr>
          <w:lang w:val="es-ES"/>
        </w:rPr>
        <w:t>ó</w:t>
      </w:r>
      <w:r w:rsidRPr="00150FE3">
        <w:rPr>
          <w:lang w:val="es-ES"/>
        </w:rPr>
        <w:t xml:space="preserve">ximo horizonte presupuestario 2021-2027. En particular dentro </w:t>
      </w:r>
      <w:r w:rsidRPr="00150FE3">
        <w:rPr>
          <w:lang w:val="es-ES"/>
        </w:rPr>
        <w:lastRenderedPageBreak/>
        <w:t xml:space="preserve">del consorcio EconPol se han presentado una serie de documentos de trabajo (Heinemann, F. 2017/01a; Heinemann, F. 2017/01b) en los que se trata de cimentar propuestas para redistribuir los 400 billones presupuestados en del actual gasto de la CAP para financiar otras </w:t>
      </w:r>
      <w:r>
        <w:rPr>
          <w:lang w:val="es-ES"/>
        </w:rPr>
        <w:t xml:space="preserve">políticas </w:t>
      </w:r>
      <w:r w:rsidRPr="00150FE3">
        <w:rPr>
          <w:lang w:val="es-ES"/>
        </w:rPr>
        <w:t>sociales en el horizonte 2020.</w:t>
      </w:r>
    </w:p>
    <w:p w14:paraId="3171C460" w14:textId="77777777" w:rsidR="00150FE3" w:rsidRDefault="00150FE3" w:rsidP="00150FE3">
      <w:pPr>
        <w:rPr>
          <w:lang w:val="es-ES"/>
        </w:rPr>
      </w:pPr>
      <w:r w:rsidRPr="00150FE3">
        <w:rPr>
          <w:lang w:val="es-ES"/>
        </w:rPr>
        <w:t>De hecho estas propuestas han tenido un primer efecto en la propuesta de presupuesto agrario que la Comisi</w:t>
      </w:r>
      <w:r>
        <w:rPr>
          <w:lang w:val="es-ES"/>
        </w:rPr>
        <w:t>ó</w:t>
      </w:r>
      <w:r w:rsidRPr="00150FE3">
        <w:rPr>
          <w:lang w:val="es-ES"/>
        </w:rPr>
        <w:t>n env</w:t>
      </w:r>
      <w:r>
        <w:rPr>
          <w:rFonts w:ascii="Calibri" w:hAnsi="Calibri" w:cs="Calibri"/>
          <w:lang w:val="es-ES"/>
        </w:rPr>
        <w:t>í</w:t>
      </w:r>
      <w:r w:rsidRPr="00150FE3">
        <w:rPr>
          <w:lang w:val="es-ES"/>
        </w:rPr>
        <w:t>a al Consejo de Ministros de agricultura pues conten</w:t>
      </w:r>
      <w:r>
        <w:rPr>
          <w:rFonts w:ascii="Calibri" w:hAnsi="Calibri" w:cs="Calibri"/>
          <w:lang w:val="es-ES"/>
        </w:rPr>
        <w:t>í</w:t>
      </w:r>
      <w:r>
        <w:rPr>
          <w:lang w:val="es-ES"/>
        </w:rPr>
        <w:t xml:space="preserve">a una </w:t>
      </w:r>
      <w:r w:rsidRPr="00150FE3">
        <w:rPr>
          <w:b/>
          <w:lang w:val="es-ES"/>
        </w:rPr>
        <w:t>reducci</w:t>
      </w:r>
      <w:r w:rsidRPr="00150FE3">
        <w:rPr>
          <w:rFonts w:ascii="Calibri" w:hAnsi="Calibri" w:cs="Calibri"/>
          <w:b/>
          <w:lang w:val="es-ES"/>
        </w:rPr>
        <w:t>ó</w:t>
      </w:r>
      <w:r w:rsidRPr="00150FE3">
        <w:rPr>
          <w:b/>
          <w:lang w:val="es-ES"/>
        </w:rPr>
        <w:t>n del gasto presupuestado para la CAP de entre un 6 y un 10 por ciento</w:t>
      </w:r>
      <w:r w:rsidRPr="00150FE3">
        <w:rPr>
          <w:lang w:val="es-ES"/>
        </w:rPr>
        <w:t xml:space="preserve"> respecto a las perspectivas presupuestarias anteriores.</w:t>
      </w:r>
    </w:p>
    <w:p w14:paraId="74876C97" w14:textId="77777777" w:rsidR="001630DE" w:rsidRPr="00150FE3" w:rsidRDefault="001630DE" w:rsidP="00150FE3">
      <w:pPr>
        <w:rPr>
          <w:lang w:val="es-ES"/>
        </w:rPr>
      </w:pPr>
      <w:r w:rsidRPr="00A226C6">
        <w:rPr>
          <w:rFonts w:ascii="Helvetica" w:hAnsi="Helvetica"/>
          <w:b/>
          <w:color w:val="1E1E1F"/>
          <w:sz w:val="21"/>
          <w:szCs w:val="21"/>
          <w:lang w:val="es-ES"/>
        </w:rPr>
        <w:t xml:space="preserve">El coste presupuestario de la PAC con respecto a la renta nacional bruta (RNB) de la Unión ha </w:t>
      </w:r>
      <w:r w:rsidRPr="001630DE">
        <w:rPr>
          <w:rFonts w:ascii="Helvetica" w:hAnsi="Helvetica"/>
          <w:b/>
          <w:color w:val="FF0000"/>
          <w:sz w:val="21"/>
          <w:szCs w:val="21"/>
          <w:lang w:val="es-ES"/>
        </w:rPr>
        <w:t>disminuido 22 puntos básicos</w:t>
      </w:r>
      <w:r w:rsidRPr="001630DE">
        <w:rPr>
          <w:rFonts w:ascii="Helvetica" w:hAnsi="Helvetica"/>
          <w:color w:val="FF0000"/>
          <w:sz w:val="21"/>
          <w:szCs w:val="21"/>
          <w:lang w:val="es-ES"/>
        </w:rPr>
        <w:t xml:space="preserve"> </w:t>
      </w:r>
      <w:r>
        <w:rPr>
          <w:rFonts w:ascii="Helvetica" w:hAnsi="Helvetica"/>
          <w:color w:val="1E1E1F"/>
          <w:sz w:val="21"/>
          <w:szCs w:val="21"/>
          <w:lang w:val="es-ES"/>
        </w:rPr>
        <w:t>entre</w:t>
      </w:r>
      <w:r w:rsidRPr="00150FE3">
        <w:rPr>
          <w:rFonts w:ascii="Helvetica" w:hAnsi="Helvetica"/>
          <w:color w:val="1E1E1F"/>
          <w:sz w:val="21"/>
          <w:szCs w:val="21"/>
          <w:lang w:val="es-ES"/>
        </w:rPr>
        <w:t xml:space="preserve"> 1990 </w:t>
      </w:r>
      <w:r>
        <w:rPr>
          <w:rFonts w:ascii="Helvetica" w:hAnsi="Helvetica"/>
          <w:color w:val="1E1E1F"/>
          <w:sz w:val="21"/>
          <w:szCs w:val="21"/>
          <w:lang w:val="es-ES"/>
        </w:rPr>
        <w:t>y</w:t>
      </w:r>
      <w:r w:rsidRPr="00150FE3">
        <w:rPr>
          <w:rFonts w:ascii="Helvetica" w:hAnsi="Helvetica"/>
          <w:color w:val="1E1E1F"/>
          <w:sz w:val="21"/>
          <w:szCs w:val="21"/>
          <w:lang w:val="es-ES"/>
        </w:rPr>
        <w:t xml:space="preserve"> </w:t>
      </w:r>
      <w:r>
        <w:rPr>
          <w:rFonts w:ascii="Helvetica" w:hAnsi="Helvetica"/>
          <w:color w:val="1E1E1F"/>
          <w:sz w:val="21"/>
          <w:szCs w:val="21"/>
          <w:lang w:val="es-ES"/>
        </w:rPr>
        <w:t>l</w:t>
      </w:r>
      <w:r w:rsidRPr="00150FE3">
        <w:rPr>
          <w:rFonts w:ascii="Helvetica" w:hAnsi="Helvetica"/>
          <w:color w:val="1E1E1F"/>
          <w:sz w:val="21"/>
          <w:szCs w:val="21"/>
          <w:lang w:val="es-ES"/>
        </w:rPr>
        <w:t>a previsión</w:t>
      </w:r>
      <w:r>
        <w:rPr>
          <w:rFonts w:ascii="Helvetica" w:hAnsi="Helvetica"/>
          <w:color w:val="1E1E1F"/>
          <w:sz w:val="21"/>
          <w:szCs w:val="21"/>
          <w:lang w:val="es-ES"/>
        </w:rPr>
        <w:t xml:space="preserve"> aprobada</w:t>
      </w:r>
      <w:r w:rsidRPr="00150FE3">
        <w:rPr>
          <w:rFonts w:ascii="Helvetica" w:hAnsi="Helvetica"/>
          <w:color w:val="1E1E1F"/>
          <w:sz w:val="21"/>
          <w:szCs w:val="21"/>
          <w:lang w:val="es-ES"/>
        </w:rPr>
        <w:t xml:space="preserve"> para el período </w:t>
      </w:r>
      <w:r>
        <w:rPr>
          <w:rFonts w:ascii="Helvetica" w:hAnsi="Helvetica"/>
          <w:color w:val="1E1E1F"/>
          <w:sz w:val="21"/>
          <w:szCs w:val="21"/>
          <w:lang w:val="es-ES"/>
        </w:rPr>
        <w:t xml:space="preserve">presupuestario </w:t>
      </w:r>
      <w:r w:rsidRPr="00150FE3">
        <w:rPr>
          <w:rFonts w:ascii="Helvetica" w:hAnsi="Helvetica"/>
          <w:color w:val="1E1E1F"/>
          <w:sz w:val="21"/>
          <w:szCs w:val="21"/>
          <w:lang w:val="es-ES"/>
        </w:rPr>
        <w:t>2021-2027</w:t>
      </w:r>
      <w:r>
        <w:rPr>
          <w:rFonts w:ascii="Helvetica" w:hAnsi="Helvetica"/>
          <w:color w:val="1E1E1F"/>
          <w:sz w:val="21"/>
          <w:szCs w:val="21"/>
          <w:lang w:val="es-ES"/>
        </w:rPr>
        <w:t xml:space="preserve"> (OCDE, 2021)</w:t>
      </w:r>
      <w:r w:rsidRPr="00150FE3">
        <w:rPr>
          <w:rFonts w:ascii="Helvetica" w:hAnsi="Helvetica"/>
          <w:color w:val="1E1E1F"/>
          <w:sz w:val="21"/>
          <w:szCs w:val="21"/>
          <w:lang w:val="es-ES"/>
        </w:rPr>
        <w:t>.</w:t>
      </w:r>
    </w:p>
    <w:p w14:paraId="0A5DD545" w14:textId="77777777" w:rsidR="00150FE3" w:rsidRPr="00150FE3" w:rsidRDefault="00150FE3" w:rsidP="00005A97">
      <w:pPr>
        <w:pStyle w:val="Ttulo1"/>
        <w:rPr>
          <w:lang w:val="es-ES"/>
        </w:rPr>
      </w:pPr>
      <w:r w:rsidRPr="00150FE3">
        <w:rPr>
          <w:lang w:val="es-ES"/>
        </w:rPr>
        <w:t>Propuesta de mayo de 2018 de la Comisi</w:t>
      </w:r>
      <w:r>
        <w:rPr>
          <w:lang w:val="es-ES"/>
        </w:rPr>
        <w:t>ó</w:t>
      </w:r>
      <w:r w:rsidRPr="00150FE3">
        <w:rPr>
          <w:lang w:val="es-ES"/>
        </w:rPr>
        <w:t>n s</w:t>
      </w:r>
      <w:r w:rsidR="00005A97">
        <w:rPr>
          <w:lang w:val="es-ES"/>
        </w:rPr>
        <w:t>obre el presupuesto 2021-2027</w:t>
      </w:r>
    </w:p>
    <w:p w14:paraId="4CCB67A5" w14:textId="77777777" w:rsidR="00150FE3" w:rsidRPr="00150FE3" w:rsidRDefault="00150FE3" w:rsidP="00150FE3">
      <w:pPr>
        <w:rPr>
          <w:lang w:val="es-ES"/>
        </w:rPr>
      </w:pPr>
    </w:p>
    <w:p w14:paraId="32540BE5" w14:textId="77777777" w:rsidR="00150FE3" w:rsidRPr="00150FE3" w:rsidRDefault="00150FE3" w:rsidP="00150FE3">
      <w:pPr>
        <w:rPr>
          <w:lang w:val="es-ES"/>
        </w:rPr>
      </w:pPr>
      <w:r w:rsidRPr="00150FE3">
        <w:rPr>
          <w:lang w:val="es-ES"/>
        </w:rPr>
        <w:t>El 1 de junio de 2018, la Comisi</w:t>
      </w:r>
      <w:r>
        <w:rPr>
          <w:lang w:val="es-ES"/>
        </w:rPr>
        <w:t>ó</w:t>
      </w:r>
      <w:r w:rsidRPr="00150FE3">
        <w:rPr>
          <w:lang w:val="es-ES"/>
        </w:rPr>
        <w:t xml:space="preserve">n Europea presenta las propuestas legislativas sobre el futuro de la </w:t>
      </w:r>
      <w:r>
        <w:rPr>
          <w:lang w:val="es-ES"/>
        </w:rPr>
        <w:t xml:space="preserve">política agrícola </w:t>
      </w:r>
      <w:r w:rsidRPr="00150FE3">
        <w:rPr>
          <w:lang w:val="es-ES"/>
        </w:rPr>
        <w:t xml:space="preserve"> </w:t>
      </w:r>
      <w:r>
        <w:rPr>
          <w:lang w:val="es-ES"/>
        </w:rPr>
        <w:t>común</w:t>
      </w:r>
      <w:r w:rsidRPr="00150FE3">
        <w:rPr>
          <w:lang w:val="es-ES"/>
        </w:rPr>
        <w:t xml:space="preserve"> (CAP) que hab</w:t>
      </w:r>
      <w:r>
        <w:rPr>
          <w:rFonts w:ascii="Calibri" w:hAnsi="Calibri" w:cs="Calibri"/>
          <w:lang w:val="es-ES"/>
        </w:rPr>
        <w:t>í</w:t>
      </w:r>
      <w:r w:rsidRPr="00150FE3">
        <w:rPr>
          <w:lang w:val="es-ES"/>
        </w:rPr>
        <w:t>a avanzado en mayo de 2018.</w:t>
      </w:r>
    </w:p>
    <w:p w14:paraId="5D5919B2" w14:textId="77777777" w:rsidR="00150FE3" w:rsidRPr="00150FE3" w:rsidRDefault="00150FE3" w:rsidP="00150FE3">
      <w:pPr>
        <w:rPr>
          <w:lang w:val="es-ES"/>
        </w:rPr>
      </w:pPr>
    </w:p>
    <w:p w14:paraId="3E3BA2C6" w14:textId="77777777" w:rsidR="00150FE3" w:rsidRPr="00150FE3" w:rsidRDefault="00150FE3" w:rsidP="00150FE3">
      <w:pPr>
        <w:rPr>
          <w:lang w:val="es-ES"/>
        </w:rPr>
      </w:pPr>
      <w:r w:rsidRPr="00150FE3">
        <w:rPr>
          <w:lang w:val="es-ES"/>
        </w:rPr>
        <w:t>Las propuestas legislativas (Comisi</w:t>
      </w:r>
      <w:r>
        <w:rPr>
          <w:lang w:val="es-ES"/>
        </w:rPr>
        <w:t>ó</w:t>
      </w:r>
      <w:r w:rsidRPr="00150FE3">
        <w:rPr>
          <w:lang w:val="es-ES"/>
        </w:rPr>
        <w:t xml:space="preserve">n, 2018 https://www.consilium.europa.eu/es/policies/cap-future-2020/ consultado el 19/10/2018) tienen por objeto adaptar la </w:t>
      </w:r>
      <w:r w:rsidR="001630DE">
        <w:rPr>
          <w:lang w:val="es-ES"/>
        </w:rPr>
        <w:t>PAC al futuro y</w:t>
      </w:r>
      <w:r w:rsidRPr="00150FE3">
        <w:rPr>
          <w:lang w:val="es-ES"/>
        </w:rPr>
        <w:t xml:space="preserve"> </w:t>
      </w:r>
      <w:r>
        <w:rPr>
          <w:lang w:val="es-ES"/>
        </w:rPr>
        <w:t xml:space="preserve">según </w:t>
      </w:r>
      <w:r w:rsidRPr="00150FE3">
        <w:rPr>
          <w:lang w:val="es-ES"/>
        </w:rPr>
        <w:t>explica la propia Comisi</w:t>
      </w:r>
      <w:r>
        <w:rPr>
          <w:rFonts w:ascii="Calibri" w:hAnsi="Calibri" w:cs="Calibri"/>
          <w:lang w:val="es-ES"/>
        </w:rPr>
        <w:t>ó</w:t>
      </w:r>
      <w:r w:rsidRPr="00150FE3">
        <w:rPr>
          <w:lang w:val="es-ES"/>
        </w:rPr>
        <w:t>n</w:t>
      </w:r>
      <w:r>
        <w:rPr>
          <w:lang w:val="es-ES"/>
        </w:rPr>
        <w:t xml:space="preserve"> </w:t>
      </w:r>
      <w:r w:rsidRPr="00150FE3">
        <w:rPr>
          <w:lang w:val="es-ES"/>
        </w:rPr>
        <w:t>se trata de tres propuestas legislativas que se debatieron en el Consejo de Agricultura y Pesca del 18 de junio de 2018:</w:t>
      </w:r>
    </w:p>
    <w:p w14:paraId="10E048FE" w14:textId="77777777" w:rsidR="00150FE3" w:rsidRPr="00150FE3" w:rsidRDefault="00150FE3" w:rsidP="00150FE3">
      <w:pPr>
        <w:rPr>
          <w:lang w:val="es-ES"/>
        </w:rPr>
      </w:pPr>
    </w:p>
    <w:p w14:paraId="075D018F" w14:textId="77777777" w:rsidR="00150FE3" w:rsidRPr="00150FE3" w:rsidRDefault="00150FE3" w:rsidP="00150FE3">
      <w:pPr>
        <w:pStyle w:val="Prrafodelista"/>
        <w:numPr>
          <w:ilvl w:val="0"/>
          <w:numId w:val="1"/>
        </w:numPr>
        <w:rPr>
          <w:b/>
          <w:lang w:val="es-ES"/>
        </w:rPr>
      </w:pPr>
      <w:r>
        <w:rPr>
          <w:lang w:val="es-ES"/>
        </w:rPr>
        <w:t xml:space="preserve">un Reglamento sobre los </w:t>
      </w:r>
      <w:r w:rsidRPr="00150FE3">
        <w:rPr>
          <w:b/>
          <w:lang w:val="es-ES"/>
        </w:rPr>
        <w:t>planes estrat</w:t>
      </w:r>
      <w:r w:rsidRPr="00150FE3">
        <w:rPr>
          <w:rFonts w:ascii="Calibri" w:hAnsi="Calibri" w:cs="Calibri"/>
          <w:b/>
          <w:lang w:val="es-ES"/>
        </w:rPr>
        <w:t>é</w:t>
      </w:r>
      <w:r w:rsidRPr="00150FE3">
        <w:rPr>
          <w:b/>
          <w:lang w:val="es-ES"/>
        </w:rPr>
        <w:t>gicos de la CAP</w:t>
      </w:r>
    </w:p>
    <w:p w14:paraId="161170CA" w14:textId="77777777" w:rsidR="00150FE3" w:rsidRPr="00150FE3" w:rsidRDefault="00150FE3" w:rsidP="00150FE3">
      <w:pPr>
        <w:pStyle w:val="Prrafodelista"/>
        <w:numPr>
          <w:ilvl w:val="0"/>
          <w:numId w:val="1"/>
        </w:numPr>
        <w:rPr>
          <w:lang w:val="es-ES"/>
        </w:rPr>
      </w:pPr>
      <w:r>
        <w:rPr>
          <w:lang w:val="es-ES"/>
        </w:rPr>
        <w:t xml:space="preserve">un Reglamento sobre la </w:t>
      </w:r>
      <w:r w:rsidRPr="00150FE3">
        <w:rPr>
          <w:b/>
          <w:lang w:val="es-ES"/>
        </w:rPr>
        <w:t>organizaci</w:t>
      </w:r>
      <w:r w:rsidRPr="00150FE3">
        <w:rPr>
          <w:rFonts w:ascii="Calibri" w:hAnsi="Calibri" w:cs="Calibri"/>
          <w:b/>
          <w:lang w:val="es-ES"/>
        </w:rPr>
        <w:t>ó</w:t>
      </w:r>
      <w:r w:rsidRPr="00150FE3">
        <w:rPr>
          <w:b/>
          <w:lang w:val="es-ES"/>
        </w:rPr>
        <w:t>n común de mercados (OCM) única</w:t>
      </w:r>
    </w:p>
    <w:p w14:paraId="3620C4CF" w14:textId="77777777" w:rsidR="00150FE3" w:rsidRPr="00150FE3" w:rsidRDefault="00150FE3" w:rsidP="00150FE3">
      <w:pPr>
        <w:pStyle w:val="Prrafodelista"/>
        <w:numPr>
          <w:ilvl w:val="0"/>
          <w:numId w:val="1"/>
        </w:numPr>
        <w:rPr>
          <w:lang w:val="es-ES"/>
        </w:rPr>
      </w:pPr>
      <w:r w:rsidRPr="00150FE3">
        <w:rPr>
          <w:lang w:val="es-ES"/>
        </w:rPr>
        <w:t>u</w:t>
      </w:r>
      <w:r>
        <w:rPr>
          <w:lang w:val="es-ES"/>
        </w:rPr>
        <w:t xml:space="preserve">n Reglamento horizontal sobre </w:t>
      </w:r>
      <w:r w:rsidRPr="00150FE3">
        <w:rPr>
          <w:b/>
          <w:lang w:val="es-ES"/>
        </w:rPr>
        <w:t>financiaci</w:t>
      </w:r>
      <w:r w:rsidRPr="00150FE3">
        <w:rPr>
          <w:rFonts w:ascii="Calibri" w:hAnsi="Calibri" w:cs="Calibri"/>
          <w:b/>
          <w:lang w:val="es-ES"/>
        </w:rPr>
        <w:t>ó</w:t>
      </w:r>
      <w:r w:rsidRPr="00150FE3">
        <w:rPr>
          <w:b/>
          <w:lang w:val="es-ES"/>
        </w:rPr>
        <w:t>n, gesti</w:t>
      </w:r>
      <w:r w:rsidRPr="00150FE3">
        <w:rPr>
          <w:rFonts w:ascii="Calibri" w:hAnsi="Calibri" w:cs="Calibri"/>
          <w:b/>
          <w:lang w:val="es-ES"/>
        </w:rPr>
        <w:t>ó</w:t>
      </w:r>
      <w:r w:rsidRPr="00150FE3">
        <w:rPr>
          <w:b/>
          <w:lang w:val="es-ES"/>
        </w:rPr>
        <w:t>n y seguimiento de la CAP</w:t>
      </w:r>
    </w:p>
    <w:p w14:paraId="222B015B" w14:textId="77777777" w:rsidR="00150FE3" w:rsidRPr="00150FE3" w:rsidRDefault="00150FE3" w:rsidP="00150FE3">
      <w:pPr>
        <w:rPr>
          <w:lang w:val="es-ES"/>
        </w:rPr>
      </w:pPr>
    </w:p>
    <w:p w14:paraId="66DFD6D3" w14:textId="77777777" w:rsidR="00150FE3" w:rsidRPr="00150FE3" w:rsidRDefault="00150FE3" w:rsidP="00150FE3">
      <w:pPr>
        <w:rPr>
          <w:b/>
          <w:lang w:val="es-ES"/>
        </w:rPr>
      </w:pPr>
      <w:r w:rsidRPr="00150FE3">
        <w:rPr>
          <w:lang w:val="es-ES"/>
        </w:rPr>
        <w:t>En esta propuesta de la Comisi</w:t>
      </w:r>
      <w:r>
        <w:rPr>
          <w:lang w:val="es-ES"/>
        </w:rPr>
        <w:t>ó</w:t>
      </w:r>
      <w:r w:rsidRPr="00150FE3">
        <w:rPr>
          <w:lang w:val="es-ES"/>
        </w:rPr>
        <w:t>n de</w:t>
      </w:r>
      <w:r>
        <w:rPr>
          <w:lang w:val="es-ES"/>
        </w:rPr>
        <w:t xml:space="preserve">staca que se debe preparar un </w:t>
      </w:r>
      <w:r w:rsidRPr="00150FE3">
        <w:rPr>
          <w:b/>
          <w:lang w:val="es-ES"/>
        </w:rPr>
        <w:t>plan estrat</w:t>
      </w:r>
      <w:r w:rsidRPr="00150FE3">
        <w:rPr>
          <w:rFonts w:ascii="Calibri" w:hAnsi="Calibri" w:cs="Calibri"/>
          <w:b/>
          <w:lang w:val="es-ES"/>
        </w:rPr>
        <w:t>é</w:t>
      </w:r>
      <w:r w:rsidRPr="00150FE3">
        <w:rPr>
          <w:b/>
          <w:lang w:val="es-ES"/>
        </w:rPr>
        <w:t>gico de la CAP para cada Estado Miembro</w:t>
      </w:r>
    </w:p>
    <w:p w14:paraId="34414388" w14:textId="77777777" w:rsidR="00150FE3" w:rsidRPr="00150FE3" w:rsidRDefault="00150FE3" w:rsidP="00150FE3">
      <w:pPr>
        <w:rPr>
          <w:lang w:val="es-ES"/>
        </w:rPr>
      </w:pPr>
    </w:p>
    <w:p w14:paraId="46C87AF1" w14:textId="77777777" w:rsidR="00150FE3" w:rsidRPr="00150FE3" w:rsidRDefault="00005A97" w:rsidP="00150FE3">
      <w:pPr>
        <w:rPr>
          <w:lang w:val="es-ES"/>
        </w:rPr>
      </w:pPr>
      <w:r>
        <w:rPr>
          <w:lang w:val="es-ES"/>
        </w:rPr>
        <w:t>a.</w:t>
      </w:r>
      <w:r>
        <w:rPr>
          <w:lang w:val="es-ES"/>
        </w:rPr>
        <w:tab/>
      </w:r>
      <w:r w:rsidR="00150FE3" w:rsidRPr="00150FE3">
        <w:rPr>
          <w:lang w:val="es-ES"/>
        </w:rPr>
        <w:t>cad</w:t>
      </w:r>
      <w:r w:rsidR="00150FE3">
        <w:rPr>
          <w:lang w:val="es-ES"/>
        </w:rPr>
        <w:t>a Estado miembro de la UE tendr</w:t>
      </w:r>
      <w:r w:rsidR="00150FE3" w:rsidRPr="00150FE3">
        <w:rPr>
          <w:lang w:val="es-ES"/>
        </w:rPr>
        <w:t xml:space="preserve">á que realizar un </w:t>
      </w:r>
      <w:r w:rsidR="00150FE3" w:rsidRPr="00005A97">
        <w:rPr>
          <w:b/>
          <w:lang w:val="es-ES"/>
        </w:rPr>
        <w:t>análisis exhaustivo de sus necesidades espec</w:t>
      </w:r>
      <w:r w:rsidR="00150FE3" w:rsidRPr="00005A97">
        <w:rPr>
          <w:rFonts w:ascii="Calibri" w:hAnsi="Calibri" w:cs="Calibri"/>
          <w:b/>
          <w:lang w:val="es-ES"/>
        </w:rPr>
        <w:t>í</w:t>
      </w:r>
      <w:r w:rsidR="00150FE3" w:rsidRPr="00005A97">
        <w:rPr>
          <w:b/>
          <w:lang w:val="es-ES"/>
        </w:rPr>
        <w:t>ficas</w:t>
      </w:r>
      <w:r w:rsidR="00150FE3" w:rsidRPr="00150FE3">
        <w:rPr>
          <w:lang w:val="es-ES"/>
        </w:rPr>
        <w:t xml:space="preserve"> y elaborar un </w:t>
      </w:r>
      <w:r w:rsidR="00150FE3" w:rsidRPr="00005A97">
        <w:rPr>
          <w:b/>
          <w:lang w:val="es-ES"/>
        </w:rPr>
        <w:t>plan estrat</w:t>
      </w:r>
      <w:r w:rsidR="00150FE3" w:rsidRPr="00005A97">
        <w:rPr>
          <w:rFonts w:ascii="Calibri" w:hAnsi="Calibri" w:cs="Calibri"/>
          <w:b/>
          <w:lang w:val="es-ES"/>
        </w:rPr>
        <w:t>é</w:t>
      </w:r>
      <w:r w:rsidR="00150FE3" w:rsidRPr="00005A97">
        <w:rPr>
          <w:b/>
          <w:lang w:val="es-ES"/>
        </w:rPr>
        <w:t>gico de la CAP</w:t>
      </w:r>
      <w:r>
        <w:rPr>
          <w:b/>
          <w:lang w:val="es-ES"/>
        </w:rPr>
        <w:t>.</w:t>
      </w:r>
    </w:p>
    <w:p w14:paraId="142154C8" w14:textId="77777777" w:rsidR="00150FE3" w:rsidRPr="00150FE3" w:rsidRDefault="00150FE3" w:rsidP="00150FE3">
      <w:pPr>
        <w:rPr>
          <w:lang w:val="es-ES"/>
        </w:rPr>
      </w:pPr>
    </w:p>
    <w:p w14:paraId="5DBE3F57" w14:textId="77777777" w:rsidR="00150FE3" w:rsidRPr="00150FE3" w:rsidRDefault="00150FE3" w:rsidP="00150FE3">
      <w:pPr>
        <w:rPr>
          <w:lang w:val="es-ES"/>
        </w:rPr>
      </w:pPr>
      <w:r w:rsidRPr="00150FE3">
        <w:rPr>
          <w:lang w:val="es-ES"/>
        </w:rPr>
        <w:t>b.</w:t>
      </w:r>
      <w:r w:rsidRPr="00150FE3">
        <w:rPr>
          <w:lang w:val="es-ES"/>
        </w:rPr>
        <w:tab/>
        <w:t xml:space="preserve">cada plan </w:t>
      </w:r>
      <w:r>
        <w:rPr>
          <w:lang w:val="es-ES"/>
        </w:rPr>
        <w:t xml:space="preserve">concretará </w:t>
      </w:r>
      <w:r w:rsidRPr="00150FE3">
        <w:rPr>
          <w:lang w:val="es-ES"/>
        </w:rPr>
        <w:t>la manera en que el Estado miembro utilizar</w:t>
      </w:r>
      <w:r>
        <w:rPr>
          <w:rFonts w:ascii="Calibri" w:hAnsi="Calibri" w:cs="Calibri"/>
          <w:lang w:val="es-ES"/>
        </w:rPr>
        <w:t>l</w:t>
      </w:r>
      <w:r w:rsidRPr="00150FE3">
        <w:rPr>
          <w:lang w:val="es-ES"/>
        </w:rPr>
        <w:t>a financiaci</w:t>
      </w:r>
      <w:r>
        <w:rPr>
          <w:rFonts w:ascii="Calibri" w:hAnsi="Calibri" w:cs="Calibri"/>
          <w:lang w:val="es-ES"/>
        </w:rPr>
        <w:t xml:space="preserve">ón </w:t>
      </w:r>
      <w:r w:rsidRPr="00150FE3">
        <w:rPr>
          <w:lang w:val="es-ES"/>
        </w:rPr>
        <w:t>de la CAP para satisfacer dichas necesidades, incluidos los {{instrumentos}} que usar</w:t>
      </w:r>
      <w:r>
        <w:rPr>
          <w:rFonts w:ascii="Calibri" w:hAnsi="Calibri" w:cs="Calibri"/>
          <w:lang w:val="es-ES"/>
        </w:rPr>
        <w:t>á</w:t>
      </w:r>
      <w:r>
        <w:rPr>
          <w:lang w:val="es-ES"/>
        </w:rPr>
        <w:t xml:space="preserve">, y estableciendo sus propios </w:t>
      </w:r>
      <w:r w:rsidRPr="00150FE3">
        <w:rPr>
          <w:b/>
          <w:lang w:val="es-ES"/>
        </w:rPr>
        <w:t>objetivos específicos</w:t>
      </w:r>
      <w:r>
        <w:rPr>
          <w:lang w:val="es-ES"/>
        </w:rPr>
        <w:t>.</w:t>
      </w:r>
    </w:p>
    <w:p w14:paraId="6690DFC5" w14:textId="77777777" w:rsidR="00150FE3" w:rsidRPr="00150FE3" w:rsidRDefault="00150FE3" w:rsidP="00150FE3">
      <w:pPr>
        <w:rPr>
          <w:lang w:val="es-ES"/>
        </w:rPr>
      </w:pPr>
    </w:p>
    <w:p w14:paraId="5EE5695F" w14:textId="77777777" w:rsidR="00150FE3" w:rsidRPr="00150FE3" w:rsidRDefault="00150FE3" w:rsidP="00150FE3">
      <w:pPr>
        <w:rPr>
          <w:lang w:val="es-ES"/>
        </w:rPr>
      </w:pPr>
      <w:r>
        <w:rPr>
          <w:lang w:val="es-ES"/>
        </w:rPr>
        <w:t>c.</w:t>
      </w:r>
      <w:r>
        <w:rPr>
          <w:lang w:val="es-ES"/>
        </w:rPr>
        <w:tab/>
      </w:r>
      <w:r w:rsidRPr="00150FE3">
        <w:rPr>
          <w:b/>
          <w:lang w:val="es-ES"/>
        </w:rPr>
        <w:t>cada plan estratégico de la CAP requerirá</w:t>
      </w:r>
      <w:r w:rsidRPr="00150FE3">
        <w:rPr>
          <w:rFonts w:ascii="Calibri" w:hAnsi="Calibri" w:cs="Calibri"/>
          <w:b/>
          <w:lang w:val="es-ES"/>
        </w:rPr>
        <w:t xml:space="preserve"> </w:t>
      </w:r>
      <w:r w:rsidRPr="00150FE3">
        <w:rPr>
          <w:b/>
          <w:lang w:val="es-ES"/>
        </w:rPr>
        <w:t>la aprobaci</w:t>
      </w:r>
      <w:r w:rsidRPr="00150FE3">
        <w:rPr>
          <w:rFonts w:ascii="Calibri" w:hAnsi="Calibri" w:cs="Calibri"/>
          <w:b/>
          <w:lang w:val="es-ES"/>
        </w:rPr>
        <w:t xml:space="preserve">ón </w:t>
      </w:r>
      <w:r w:rsidRPr="00150FE3">
        <w:rPr>
          <w:b/>
          <w:lang w:val="es-ES"/>
        </w:rPr>
        <w:t>previa de la Comisi</w:t>
      </w:r>
      <w:r w:rsidRPr="00150FE3">
        <w:rPr>
          <w:rFonts w:ascii="Calibri" w:hAnsi="Calibri" w:cs="Calibri"/>
          <w:lang w:val="es-ES"/>
        </w:rPr>
        <w:t>ón</w:t>
      </w:r>
      <w:r w:rsidRPr="00150FE3">
        <w:rPr>
          <w:lang w:val="es-ES"/>
        </w:rPr>
        <w:t xml:space="preserve"> para garantizar su coherencia con los objetivos de toda la UE</w:t>
      </w:r>
    </w:p>
    <w:p w14:paraId="2208556E" w14:textId="77777777" w:rsidR="00150FE3" w:rsidRPr="00150FE3" w:rsidRDefault="00150FE3" w:rsidP="00150FE3">
      <w:pPr>
        <w:rPr>
          <w:lang w:val="es-ES"/>
        </w:rPr>
      </w:pPr>
    </w:p>
    <w:p w14:paraId="34C2105D" w14:textId="77777777" w:rsidR="00150FE3" w:rsidRPr="00150FE3" w:rsidRDefault="00150FE3" w:rsidP="00150FE3">
      <w:pPr>
        <w:rPr>
          <w:lang w:val="es-ES"/>
        </w:rPr>
      </w:pPr>
      <w:r w:rsidRPr="00150FE3">
        <w:rPr>
          <w:lang w:val="es-ES"/>
        </w:rPr>
        <w:t>d.</w:t>
      </w:r>
      <w:r w:rsidRPr="00150FE3">
        <w:rPr>
          <w:lang w:val="es-ES"/>
        </w:rPr>
        <w:tab/>
        <w:t xml:space="preserve">cada </w:t>
      </w:r>
      <w:r>
        <w:rPr>
          <w:lang w:val="es-ES"/>
        </w:rPr>
        <w:t>año</w:t>
      </w:r>
      <w:r w:rsidRPr="00150FE3">
        <w:rPr>
          <w:lang w:val="es-ES"/>
        </w:rPr>
        <w:t>, los pa</w:t>
      </w:r>
      <w:r>
        <w:rPr>
          <w:rFonts w:ascii="Calibri" w:hAnsi="Calibri" w:cs="Calibri"/>
          <w:lang w:val="es-ES"/>
        </w:rPr>
        <w:t>í</w:t>
      </w:r>
      <w:r w:rsidRPr="00150FE3">
        <w:rPr>
          <w:lang w:val="es-ES"/>
        </w:rPr>
        <w:t>ses presentar</w:t>
      </w:r>
      <w:r>
        <w:rPr>
          <w:rFonts w:ascii="Calibri" w:hAnsi="Calibri" w:cs="Calibri"/>
          <w:lang w:val="es-ES"/>
        </w:rPr>
        <w:t>á</w:t>
      </w:r>
      <w:r w:rsidRPr="00150FE3">
        <w:rPr>
          <w:lang w:val="es-ES"/>
        </w:rPr>
        <w:t>n</w:t>
      </w:r>
      <w:r>
        <w:rPr>
          <w:lang w:val="es-ES"/>
        </w:rPr>
        <w:t xml:space="preserve"> un </w:t>
      </w:r>
      <w:r w:rsidRPr="00150FE3">
        <w:rPr>
          <w:b/>
          <w:lang w:val="es-ES"/>
        </w:rPr>
        <w:t>informe de resultados a la Comisión</w:t>
      </w:r>
      <w:r>
        <w:rPr>
          <w:lang w:val="es-ES"/>
        </w:rPr>
        <w:t xml:space="preserve"> </w:t>
      </w:r>
      <w:r w:rsidRPr="00150FE3">
        <w:rPr>
          <w:lang w:val="es-ES"/>
        </w:rPr>
        <w:t xml:space="preserve"> para indicar c</w:t>
      </w:r>
      <w:r>
        <w:rPr>
          <w:rFonts w:ascii="Calibri" w:hAnsi="Calibri" w:cs="Calibri"/>
          <w:lang w:val="es-ES"/>
        </w:rPr>
        <w:t>ó</w:t>
      </w:r>
      <w:r w:rsidRPr="00150FE3">
        <w:rPr>
          <w:lang w:val="es-ES"/>
        </w:rPr>
        <w:t>mo han avanzado hacia los objetivos establecidos en relaci</w:t>
      </w:r>
      <w:r>
        <w:rPr>
          <w:lang w:val="es-ES"/>
        </w:rPr>
        <w:t xml:space="preserve">ón </w:t>
      </w:r>
      <w:r w:rsidR="00005A97">
        <w:rPr>
          <w:lang w:val="es-ES"/>
        </w:rPr>
        <w:t>con los resultados previstos.</w:t>
      </w:r>
    </w:p>
    <w:p w14:paraId="13FA8A7E" w14:textId="77777777" w:rsidR="00150FE3" w:rsidRPr="00150FE3" w:rsidRDefault="00150FE3" w:rsidP="00150FE3">
      <w:pPr>
        <w:rPr>
          <w:lang w:val="es-ES"/>
        </w:rPr>
      </w:pPr>
    </w:p>
    <w:p w14:paraId="0D9FBAED" w14:textId="77777777" w:rsidR="00150FE3" w:rsidRPr="00150FE3" w:rsidRDefault="00150FE3" w:rsidP="00150FE3">
      <w:pPr>
        <w:rPr>
          <w:lang w:val="es-ES"/>
        </w:rPr>
      </w:pPr>
      <w:r w:rsidRPr="00150FE3">
        <w:rPr>
          <w:b/>
          <w:lang w:val="es-ES"/>
        </w:rPr>
        <w:t>En la Comisión se comprobar</w:t>
      </w:r>
      <w:r w:rsidRPr="00150FE3">
        <w:rPr>
          <w:rFonts w:ascii="Calibri" w:hAnsi="Calibri" w:cs="Calibri"/>
          <w:b/>
          <w:lang w:val="es-ES"/>
        </w:rPr>
        <w:t>á</w:t>
      </w:r>
      <w:r w:rsidRPr="00150FE3">
        <w:rPr>
          <w:b/>
          <w:lang w:val="es-ES"/>
        </w:rPr>
        <w:t>n los planes estrat</w:t>
      </w:r>
      <w:r w:rsidRPr="00150FE3">
        <w:rPr>
          <w:rFonts w:ascii="Calibri" w:hAnsi="Calibri" w:cs="Calibri"/>
          <w:b/>
          <w:lang w:val="es-ES"/>
        </w:rPr>
        <w:t>é</w:t>
      </w:r>
      <w:r w:rsidRPr="00150FE3">
        <w:rPr>
          <w:b/>
          <w:lang w:val="es-ES"/>
        </w:rPr>
        <w:t>gicos</w:t>
      </w:r>
      <w:r w:rsidRPr="00150FE3">
        <w:rPr>
          <w:lang w:val="es-ES"/>
        </w:rPr>
        <w:t xml:space="preserve"> para garantizar que no distorsionan el mercado </w:t>
      </w:r>
      <w:r>
        <w:rPr>
          <w:lang w:val="es-ES"/>
        </w:rPr>
        <w:t xml:space="preserve">Único </w:t>
      </w:r>
      <w:r w:rsidRPr="00150FE3">
        <w:rPr>
          <w:lang w:val="es-ES"/>
        </w:rPr>
        <w:t xml:space="preserve"> ni producen cargas excesivas, ni para los beneficiarios ni para las administraciones. </w:t>
      </w:r>
      <w:r w:rsidRPr="00150FE3">
        <w:rPr>
          <w:b/>
          <w:lang w:val="es-ES"/>
        </w:rPr>
        <w:t>La Comisi</w:t>
      </w:r>
      <w:r w:rsidRPr="00150FE3">
        <w:rPr>
          <w:rFonts w:ascii="Calibri" w:hAnsi="Calibri" w:cs="Calibri"/>
          <w:b/>
          <w:lang w:val="es-ES"/>
        </w:rPr>
        <w:t xml:space="preserve">ón </w:t>
      </w:r>
      <w:r w:rsidRPr="00150FE3">
        <w:rPr>
          <w:b/>
          <w:lang w:val="es-ES"/>
        </w:rPr>
        <w:t>revisar</w:t>
      </w:r>
      <w:r w:rsidRPr="00150FE3">
        <w:rPr>
          <w:rFonts w:ascii="Calibri" w:hAnsi="Calibri" w:cs="Calibri"/>
          <w:b/>
          <w:lang w:val="es-ES"/>
        </w:rPr>
        <w:t>á</w:t>
      </w:r>
      <w:r w:rsidRPr="00150FE3">
        <w:rPr>
          <w:b/>
          <w:lang w:val="es-ES"/>
        </w:rPr>
        <w:t xml:space="preserve">  a continuaci</w:t>
      </w:r>
      <w:r w:rsidRPr="00150FE3">
        <w:rPr>
          <w:rFonts w:ascii="Calibri" w:hAnsi="Calibri" w:cs="Calibri"/>
          <w:b/>
          <w:lang w:val="es-ES"/>
        </w:rPr>
        <w:t xml:space="preserve">ón </w:t>
      </w:r>
      <w:r w:rsidRPr="00150FE3">
        <w:rPr>
          <w:b/>
          <w:lang w:val="es-ES"/>
        </w:rPr>
        <w:t xml:space="preserve">los informes anuales </w:t>
      </w:r>
      <w:r w:rsidRPr="00150FE3">
        <w:rPr>
          <w:lang w:val="es-ES"/>
        </w:rPr>
        <w:t>y propondr</w:t>
      </w:r>
      <w:r>
        <w:rPr>
          <w:rFonts w:ascii="Calibri" w:hAnsi="Calibri" w:cs="Calibri"/>
          <w:lang w:val="es-ES"/>
        </w:rPr>
        <w:t xml:space="preserve">á </w:t>
      </w:r>
      <w:r w:rsidRPr="00150FE3">
        <w:rPr>
          <w:b/>
          <w:lang w:val="es-ES"/>
        </w:rPr>
        <w:t>recomendaciones para mejorar los resultados</w:t>
      </w:r>
      <w:r>
        <w:rPr>
          <w:lang w:val="es-ES"/>
        </w:rPr>
        <w:t xml:space="preserve"> si fuera necesario.</w:t>
      </w:r>
      <w:r w:rsidRPr="00150FE3">
        <w:rPr>
          <w:lang w:val="es-ES"/>
        </w:rPr>
        <w:t xml:space="preserve"> (</w:t>
      </w:r>
      <w:r>
        <w:rPr>
          <w:lang w:val="es-ES"/>
        </w:rPr>
        <w:t>Comisión</w:t>
      </w:r>
      <w:r w:rsidRPr="00150FE3">
        <w:rPr>
          <w:lang w:val="es-ES"/>
        </w:rPr>
        <w:t>, 2018 https://www.consilium.europa.eu/es/policies/cap-future-2020/ consultado el 19/10/2018)</w:t>
      </w:r>
    </w:p>
    <w:p w14:paraId="43D2BD96" w14:textId="77777777" w:rsidR="00150FE3" w:rsidRPr="00150FE3" w:rsidRDefault="00150FE3" w:rsidP="00150FE3">
      <w:pPr>
        <w:rPr>
          <w:lang w:val="es-ES"/>
        </w:rPr>
      </w:pPr>
    </w:p>
    <w:p w14:paraId="06BFF2C5" w14:textId="77777777" w:rsidR="00150FE3" w:rsidRPr="00150FE3" w:rsidRDefault="00150FE3" w:rsidP="00150FE3">
      <w:pPr>
        <w:rPr>
          <w:lang w:val="es-ES"/>
        </w:rPr>
      </w:pPr>
      <w:r w:rsidRPr="00150FE3">
        <w:rPr>
          <w:rStyle w:val="Ttulo3Car"/>
          <w:lang w:val="es-ES"/>
        </w:rPr>
        <w:t xml:space="preserve">Los principales cambios de la propuesta de la </w:t>
      </w:r>
      <w:r w:rsidRPr="00B51263">
        <w:rPr>
          <w:rStyle w:val="Ttulo3Car"/>
          <w:lang w:val="es-ES"/>
        </w:rPr>
        <w:t xml:space="preserve">Comisión </w:t>
      </w:r>
      <w:r w:rsidRPr="00150FE3">
        <w:rPr>
          <w:rStyle w:val="Ttulo3Car"/>
          <w:lang w:val="es-ES"/>
        </w:rPr>
        <w:t xml:space="preserve">presentada en mayo </w:t>
      </w:r>
      <w:r w:rsidRPr="00B51263">
        <w:rPr>
          <w:rStyle w:val="Ttulo3Car"/>
          <w:lang w:val="es-ES"/>
        </w:rPr>
        <w:t>de 2018</w:t>
      </w:r>
      <w:r>
        <w:rPr>
          <w:lang w:val="es-ES"/>
        </w:rPr>
        <w:t xml:space="preserve"> se pueden resumir en:</w:t>
      </w:r>
    </w:p>
    <w:p w14:paraId="0CD129CA" w14:textId="77777777" w:rsidR="00150FE3" w:rsidRPr="00150FE3" w:rsidRDefault="00150FE3" w:rsidP="00150FE3">
      <w:pPr>
        <w:rPr>
          <w:lang w:val="es-ES"/>
        </w:rPr>
      </w:pPr>
    </w:p>
    <w:p w14:paraId="4F3CE307" w14:textId="77777777" w:rsidR="00150FE3" w:rsidRPr="00150FE3" w:rsidRDefault="00150FE3" w:rsidP="00150FE3">
      <w:pPr>
        <w:rPr>
          <w:lang w:val="es-ES"/>
        </w:rPr>
      </w:pPr>
      <w:r w:rsidRPr="00150FE3">
        <w:rPr>
          <w:lang w:val="es-ES"/>
        </w:rPr>
        <w:t>a.</w:t>
      </w:r>
      <w:r w:rsidRPr="00150FE3">
        <w:rPr>
          <w:lang w:val="es-ES"/>
        </w:rPr>
        <w:tab/>
        <w:t xml:space="preserve">Novedades en el borrador de presupuestos 2021-2027 </w:t>
      </w:r>
      <w:r>
        <w:rPr>
          <w:lang w:val="es-ES"/>
        </w:rPr>
        <w:t xml:space="preserve">según </w:t>
      </w:r>
      <w:r w:rsidRPr="00150FE3">
        <w:rPr>
          <w:lang w:val="es-ES"/>
        </w:rPr>
        <w:t>la propuesta de la Comisi</w:t>
      </w:r>
      <w:r>
        <w:rPr>
          <w:rFonts w:ascii="Calibri" w:hAnsi="Calibri" w:cs="Calibri"/>
          <w:lang w:val="es-ES"/>
        </w:rPr>
        <w:t xml:space="preserve">ón </w:t>
      </w:r>
      <w:r w:rsidRPr="00150FE3">
        <w:rPr>
          <w:lang w:val="es-ES"/>
        </w:rPr>
        <w:t>de mayo de 2018 (</w:t>
      </w:r>
      <w:r>
        <w:rPr>
          <w:lang w:val="es-ES"/>
        </w:rPr>
        <w:t>Comisión</w:t>
      </w:r>
      <w:r w:rsidRPr="00150FE3">
        <w:rPr>
          <w:lang w:val="es-ES"/>
        </w:rPr>
        <w:t>, 2018 http://ec.europa.eu/budget/mff/index2021-2027_en.cfm)</w:t>
      </w:r>
    </w:p>
    <w:p w14:paraId="6DDE69AB" w14:textId="77777777" w:rsidR="00150FE3" w:rsidRPr="00150FE3" w:rsidRDefault="00150FE3" w:rsidP="00150FE3">
      <w:pPr>
        <w:rPr>
          <w:lang w:val="es-ES"/>
        </w:rPr>
      </w:pPr>
    </w:p>
    <w:p w14:paraId="0888B511" w14:textId="77777777" w:rsidR="00150FE3" w:rsidRPr="00150FE3" w:rsidRDefault="00150FE3" w:rsidP="00150FE3">
      <w:pPr>
        <w:rPr>
          <w:lang w:val="es-ES"/>
        </w:rPr>
      </w:pPr>
      <w:r>
        <w:rPr>
          <w:lang w:val="es-ES"/>
        </w:rPr>
        <w:t>i.</w:t>
      </w:r>
      <w:r>
        <w:rPr>
          <w:lang w:val="es-ES"/>
        </w:rPr>
        <w:tab/>
      </w:r>
      <w:r w:rsidRPr="00150FE3">
        <w:rPr>
          <w:b/>
          <w:lang w:val="es-ES"/>
        </w:rPr>
        <w:t>Modulación de las ayudas directas</w:t>
      </w:r>
      <w:r w:rsidRPr="00150FE3">
        <w:rPr>
          <w:lang w:val="es-ES"/>
        </w:rPr>
        <w:t xml:space="preserve"> y se introduce un </w:t>
      </w:r>
      <w:r w:rsidRPr="00150FE3">
        <w:rPr>
          <w:b/>
          <w:lang w:val="es-ES"/>
        </w:rPr>
        <w:t>techo máximo por explotaci</w:t>
      </w:r>
      <w:r w:rsidRPr="00150FE3">
        <w:rPr>
          <w:rFonts w:ascii="Calibri" w:hAnsi="Calibri" w:cs="Calibri"/>
          <w:b/>
          <w:lang w:val="es-ES"/>
        </w:rPr>
        <w:t>ó</w:t>
      </w:r>
      <w:r w:rsidRPr="00150FE3">
        <w:rPr>
          <w:b/>
          <w:lang w:val="es-ES"/>
        </w:rPr>
        <w:t>n</w:t>
      </w:r>
    </w:p>
    <w:p w14:paraId="7F970F09" w14:textId="77777777" w:rsidR="00150FE3" w:rsidRPr="00150FE3" w:rsidRDefault="00150FE3" w:rsidP="00150FE3">
      <w:pPr>
        <w:rPr>
          <w:lang w:val="es-ES"/>
        </w:rPr>
      </w:pPr>
    </w:p>
    <w:p w14:paraId="6128BF82" w14:textId="77777777" w:rsidR="00150FE3" w:rsidRPr="00150FE3" w:rsidRDefault="00150FE3" w:rsidP="00150FE3">
      <w:pPr>
        <w:rPr>
          <w:lang w:val="es-ES"/>
        </w:rPr>
      </w:pPr>
      <w:r w:rsidRPr="00150FE3">
        <w:rPr>
          <w:lang w:val="es-ES"/>
        </w:rPr>
        <w:t>ii.</w:t>
      </w:r>
      <w:r w:rsidRPr="00150FE3">
        <w:rPr>
          <w:lang w:val="es-ES"/>
        </w:rPr>
        <w:tab/>
        <w:t>Se permite que los agricultores y l</w:t>
      </w:r>
      <w:r>
        <w:rPr>
          <w:lang w:val="es-ES"/>
        </w:rPr>
        <w:t xml:space="preserve">as comunidades rurales puedan </w:t>
      </w:r>
      <w:r w:rsidRPr="00150FE3">
        <w:rPr>
          <w:b/>
          <w:lang w:val="es-ES"/>
        </w:rPr>
        <w:t>presentar proyectos financiables de I+D.</w:t>
      </w:r>
      <w:r w:rsidRPr="00150FE3">
        <w:rPr>
          <w:lang w:val="es-ES"/>
        </w:rPr>
        <w:t xml:space="preserve"> Se incluye una partida espec</w:t>
      </w:r>
      <w:r>
        <w:rPr>
          <w:lang w:val="es-ES"/>
        </w:rPr>
        <w:t>í</w:t>
      </w:r>
      <w:r w:rsidRPr="00150FE3">
        <w:rPr>
          <w:lang w:val="es-ES"/>
        </w:rPr>
        <w:t>fica para financiar I+D</w:t>
      </w:r>
    </w:p>
    <w:p w14:paraId="7347C626" w14:textId="77777777" w:rsidR="00150FE3" w:rsidRPr="00150FE3" w:rsidRDefault="00150FE3" w:rsidP="00150FE3">
      <w:pPr>
        <w:rPr>
          <w:lang w:val="es-ES"/>
        </w:rPr>
      </w:pPr>
    </w:p>
    <w:p w14:paraId="23899D89" w14:textId="77777777" w:rsidR="00150FE3" w:rsidRPr="00150FE3" w:rsidRDefault="00150FE3" w:rsidP="00150FE3">
      <w:pPr>
        <w:rPr>
          <w:lang w:val="es-ES"/>
        </w:rPr>
      </w:pPr>
      <w:r>
        <w:rPr>
          <w:lang w:val="es-ES"/>
        </w:rPr>
        <w:t>iii.</w:t>
      </w:r>
      <w:r>
        <w:rPr>
          <w:lang w:val="es-ES"/>
        </w:rPr>
        <w:tab/>
        <w:t xml:space="preserve">Se incentiva el </w:t>
      </w:r>
      <w:r w:rsidRPr="00150FE3">
        <w:rPr>
          <w:b/>
          <w:lang w:val="es-ES"/>
        </w:rPr>
        <w:t>uso de Big Data y nuevas tecnologías de gesti</w:t>
      </w:r>
      <w:r w:rsidRPr="00150FE3">
        <w:rPr>
          <w:rFonts w:ascii="Calibri" w:hAnsi="Calibri" w:cs="Calibri"/>
          <w:b/>
          <w:lang w:val="es-ES"/>
        </w:rPr>
        <w:t xml:space="preserve">ón </w:t>
      </w:r>
      <w:r w:rsidRPr="00150FE3">
        <w:rPr>
          <w:b/>
          <w:lang w:val="es-ES"/>
        </w:rPr>
        <w:t>y control</w:t>
      </w:r>
      <w:r w:rsidRPr="00150FE3">
        <w:rPr>
          <w:lang w:val="es-ES"/>
        </w:rPr>
        <w:t>, por ejemplo para el seguimiento de la rotaci</w:t>
      </w:r>
      <w:r>
        <w:rPr>
          <w:rFonts w:ascii="Calibri" w:hAnsi="Calibri" w:cs="Calibri"/>
          <w:lang w:val="es-ES"/>
        </w:rPr>
        <w:t xml:space="preserve">ón </w:t>
      </w:r>
      <w:r w:rsidRPr="00150FE3">
        <w:rPr>
          <w:lang w:val="es-ES"/>
        </w:rPr>
        <w:t>de cultivos de forma que se pueda verificar el cumplimiento de los objetivos necesarios para recibir los pagos directos</w:t>
      </w:r>
    </w:p>
    <w:p w14:paraId="716D62D0" w14:textId="77777777" w:rsidR="00150FE3" w:rsidRPr="00150FE3" w:rsidRDefault="00150FE3" w:rsidP="00150FE3">
      <w:pPr>
        <w:rPr>
          <w:lang w:val="es-ES"/>
        </w:rPr>
      </w:pPr>
    </w:p>
    <w:p w14:paraId="0C74C1CC" w14:textId="77777777" w:rsidR="00150FE3" w:rsidRPr="00150FE3" w:rsidRDefault="00150FE3" w:rsidP="00150FE3">
      <w:pPr>
        <w:rPr>
          <w:lang w:val="es-ES"/>
        </w:rPr>
      </w:pPr>
      <w:r w:rsidRPr="00150FE3">
        <w:rPr>
          <w:lang w:val="es-ES"/>
        </w:rPr>
        <w:t>iv.</w:t>
      </w:r>
      <w:r w:rsidRPr="00150FE3">
        <w:rPr>
          <w:lang w:val="es-ES"/>
        </w:rPr>
        <w:tab/>
        <w:t xml:space="preserve">Se favorece la </w:t>
      </w:r>
      <w:r w:rsidRPr="00005A97">
        <w:rPr>
          <w:b/>
          <w:lang w:val="es-ES"/>
        </w:rPr>
        <w:t>digitalización de vida rural</w:t>
      </w:r>
    </w:p>
    <w:p w14:paraId="763B68E0" w14:textId="77777777" w:rsidR="00150FE3" w:rsidRPr="00150FE3" w:rsidRDefault="00150FE3" w:rsidP="00150FE3">
      <w:pPr>
        <w:rPr>
          <w:lang w:val="es-ES"/>
        </w:rPr>
      </w:pPr>
    </w:p>
    <w:p w14:paraId="60335B4D" w14:textId="77777777" w:rsidR="00150FE3" w:rsidRPr="00150FE3" w:rsidRDefault="00150FE3" w:rsidP="00150FE3">
      <w:pPr>
        <w:rPr>
          <w:lang w:val="es-ES"/>
        </w:rPr>
      </w:pPr>
      <w:r w:rsidRPr="00150FE3">
        <w:rPr>
          <w:lang w:val="es-ES"/>
        </w:rPr>
        <w:t>v.</w:t>
      </w:r>
      <w:r w:rsidRPr="00150FE3">
        <w:rPr>
          <w:lang w:val="es-ES"/>
        </w:rPr>
        <w:tab/>
        <w:t>Se desarrollar</w:t>
      </w:r>
      <w:r>
        <w:rPr>
          <w:lang w:val="es-ES"/>
        </w:rPr>
        <w:t xml:space="preserve">á una </w:t>
      </w:r>
      <w:r w:rsidRPr="00150FE3">
        <w:rPr>
          <w:b/>
          <w:lang w:val="es-ES"/>
        </w:rPr>
        <w:t>plataforma de la UE para lograr una  gesti</w:t>
      </w:r>
      <w:r w:rsidRPr="00150FE3">
        <w:rPr>
          <w:rFonts w:ascii="Calibri" w:hAnsi="Calibri" w:cs="Calibri"/>
          <w:b/>
          <w:lang w:val="es-ES"/>
        </w:rPr>
        <w:t xml:space="preserve">ón </w:t>
      </w:r>
      <w:r w:rsidRPr="00150FE3">
        <w:rPr>
          <w:b/>
          <w:lang w:val="es-ES"/>
        </w:rPr>
        <w:t>efectiva de los riesgos agrarios</w:t>
      </w:r>
      <w:r>
        <w:rPr>
          <w:lang w:val="es-ES"/>
        </w:rPr>
        <w:t>.</w:t>
      </w:r>
    </w:p>
    <w:p w14:paraId="2D42719D" w14:textId="77777777" w:rsidR="00150FE3" w:rsidRPr="00150FE3" w:rsidRDefault="00150FE3" w:rsidP="00150FE3">
      <w:pPr>
        <w:rPr>
          <w:lang w:val="es-ES"/>
        </w:rPr>
      </w:pPr>
    </w:p>
    <w:p w14:paraId="690D694D" w14:textId="77777777" w:rsidR="00150FE3" w:rsidRPr="00150FE3" w:rsidRDefault="00150FE3" w:rsidP="00150FE3">
      <w:pPr>
        <w:rPr>
          <w:lang w:val="es-ES"/>
        </w:rPr>
      </w:pPr>
      <w:r w:rsidRPr="00150FE3">
        <w:rPr>
          <w:lang w:val="es-ES"/>
        </w:rPr>
        <w:lastRenderedPageBreak/>
        <w:t>2.</w:t>
      </w:r>
      <w:r w:rsidRPr="00150FE3">
        <w:rPr>
          <w:lang w:val="es-ES"/>
        </w:rPr>
        <w:tab/>
        <w:t xml:space="preserve"> Se abre la </w:t>
      </w:r>
      <w:r w:rsidRPr="00150FE3">
        <w:rPr>
          <w:b/>
          <w:lang w:val="es-ES"/>
        </w:rPr>
        <w:t>posibilidad de una cofinanciación nacional de las ayudas directas</w:t>
      </w:r>
      <w:r w:rsidRPr="00150FE3">
        <w:rPr>
          <w:lang w:val="es-ES"/>
        </w:rPr>
        <w:t xml:space="preserve"> a los agricultores</w:t>
      </w:r>
      <w:r>
        <w:rPr>
          <w:lang w:val="es-ES"/>
        </w:rPr>
        <w:t xml:space="preserve">. </w:t>
      </w:r>
      <w:r w:rsidRPr="00BE4B69">
        <w:rPr>
          <w:color w:val="0070C0"/>
          <w:lang w:val="es-ES"/>
        </w:rPr>
        <w:t>Esto abre la puerta a una diferenciación de ayudas entre países ricos y pobres</w:t>
      </w:r>
      <w:r>
        <w:rPr>
          <w:lang w:val="es-ES"/>
        </w:rPr>
        <w:t>.</w:t>
      </w:r>
    </w:p>
    <w:p w14:paraId="428DA3F0" w14:textId="77777777" w:rsidR="00150FE3" w:rsidRPr="00150FE3" w:rsidRDefault="00150FE3" w:rsidP="00150FE3">
      <w:pPr>
        <w:rPr>
          <w:lang w:val="es-ES"/>
        </w:rPr>
      </w:pPr>
    </w:p>
    <w:p w14:paraId="4ED6F66B" w14:textId="77777777" w:rsidR="00150FE3" w:rsidRPr="00150FE3" w:rsidRDefault="00150FE3" w:rsidP="00150FE3">
      <w:pPr>
        <w:rPr>
          <w:lang w:val="es-ES"/>
        </w:rPr>
      </w:pPr>
      <w:r w:rsidRPr="00150FE3">
        <w:rPr>
          <w:lang w:val="es-ES"/>
        </w:rPr>
        <w:t>Inicialmente el presupuesto 2021-2027 incluye 365 miles de millones de euro</w:t>
      </w:r>
      <w:r>
        <w:rPr>
          <w:lang w:val="es-ES"/>
        </w:rPr>
        <w:t xml:space="preserve">s y permite que los EM puedan </w:t>
      </w:r>
      <w:r w:rsidRPr="00150FE3">
        <w:rPr>
          <w:b/>
          <w:lang w:val="es-ES"/>
        </w:rPr>
        <w:t xml:space="preserve">transferir hasta un 15% de los pagos directos a </w:t>
      </w:r>
      <w:r>
        <w:rPr>
          <w:b/>
          <w:lang w:val="es-ES"/>
        </w:rPr>
        <w:t>programas de desarrollo rural.</w:t>
      </w:r>
    </w:p>
    <w:p w14:paraId="27B8449C" w14:textId="77777777" w:rsidR="00150FE3" w:rsidRPr="00150FE3" w:rsidRDefault="00150FE3" w:rsidP="00150FE3">
      <w:pPr>
        <w:rPr>
          <w:lang w:val="es-ES"/>
        </w:rPr>
      </w:pPr>
    </w:p>
    <w:p w14:paraId="632CD110" w14:textId="77777777" w:rsidR="00150FE3" w:rsidRPr="00150FE3" w:rsidRDefault="00150FE3" w:rsidP="00150FE3">
      <w:pPr>
        <w:rPr>
          <w:lang w:val="es-ES"/>
        </w:rPr>
      </w:pPr>
      <w:r>
        <w:rPr>
          <w:lang w:val="es-ES"/>
        </w:rPr>
        <w:t xml:space="preserve">Además  los EM pueden </w:t>
      </w:r>
      <w:r w:rsidRPr="00150FE3">
        <w:rPr>
          <w:b/>
          <w:lang w:val="es-ES"/>
        </w:rPr>
        <w:t>transferir otro 15% suplementario del pilar 1 al 2 para medidas ambientales y de mitigaci</w:t>
      </w:r>
      <w:r w:rsidRPr="00150FE3">
        <w:rPr>
          <w:rFonts w:ascii="Calibri" w:hAnsi="Calibri" w:cs="Calibri"/>
          <w:b/>
          <w:lang w:val="es-ES"/>
        </w:rPr>
        <w:t xml:space="preserve">ón </w:t>
      </w:r>
      <w:r w:rsidRPr="00150FE3">
        <w:rPr>
          <w:b/>
          <w:lang w:val="es-ES"/>
        </w:rPr>
        <w:t>de los efectos del cambio clim</w:t>
      </w:r>
      <w:r w:rsidRPr="00150FE3">
        <w:rPr>
          <w:rFonts w:ascii="Calibri" w:hAnsi="Calibri" w:cs="Calibri"/>
          <w:b/>
          <w:lang w:val="es-ES"/>
        </w:rPr>
        <w:t>á</w:t>
      </w:r>
      <w:r w:rsidRPr="00150FE3">
        <w:rPr>
          <w:b/>
          <w:lang w:val="es-ES"/>
        </w:rPr>
        <w:t>tico sin cofinanciació</w:t>
      </w:r>
      <w:r w:rsidRPr="00150FE3">
        <w:rPr>
          <w:rFonts w:ascii="Calibri" w:hAnsi="Calibri" w:cs="Calibri"/>
          <w:b/>
          <w:lang w:val="es-ES"/>
        </w:rPr>
        <w:t>n</w:t>
      </w:r>
      <w:r>
        <w:rPr>
          <w:b/>
          <w:lang w:val="es-ES"/>
        </w:rPr>
        <w:t>.</w:t>
      </w:r>
    </w:p>
    <w:p w14:paraId="495D3C16" w14:textId="77777777" w:rsidR="00150FE3" w:rsidRPr="00150FE3" w:rsidRDefault="00150FE3" w:rsidP="00150FE3">
      <w:pPr>
        <w:rPr>
          <w:lang w:val="es-ES"/>
        </w:rPr>
      </w:pPr>
    </w:p>
    <w:p w14:paraId="18D6F9B4" w14:textId="77777777" w:rsidR="00150FE3" w:rsidRPr="00150FE3" w:rsidRDefault="00150FE3" w:rsidP="00150FE3">
      <w:pPr>
        <w:rPr>
          <w:lang w:val="es-ES"/>
        </w:rPr>
      </w:pPr>
      <w:r>
        <w:rPr>
          <w:lang w:val="es-ES"/>
        </w:rPr>
        <w:t>Se señalan</w:t>
      </w:r>
      <w:r w:rsidRPr="00150FE3">
        <w:rPr>
          <w:lang w:val="es-ES"/>
        </w:rPr>
        <w:t xml:space="preserve"> 9 objetivos de la PAC para toda la UE pero se introduce mayor flexibilidad para que los gobiernos nacionales puedan elegir las herramientas </w:t>
      </w:r>
      <w:r>
        <w:rPr>
          <w:lang w:val="es-ES"/>
        </w:rPr>
        <w:t xml:space="preserve">más </w:t>
      </w:r>
      <w:r w:rsidRPr="00150FE3">
        <w:rPr>
          <w:lang w:val="es-ES"/>
        </w:rPr>
        <w:t xml:space="preserve">adecuadas para alcanzar estos objetivos. </w:t>
      </w:r>
      <w:r w:rsidRPr="00150FE3">
        <w:rPr>
          <w:b/>
          <w:lang w:val="es-ES"/>
        </w:rPr>
        <w:t>Cada EM debe presentar un Plan Estratégico que deber</w:t>
      </w:r>
      <w:r w:rsidRPr="00150FE3">
        <w:rPr>
          <w:rFonts w:ascii="Calibri" w:hAnsi="Calibri" w:cs="Calibri"/>
          <w:b/>
          <w:lang w:val="es-ES"/>
        </w:rPr>
        <w:t xml:space="preserve">á </w:t>
      </w:r>
      <w:r w:rsidRPr="00150FE3">
        <w:rPr>
          <w:b/>
          <w:lang w:val="es-ES"/>
        </w:rPr>
        <w:t>ser aprobado por la Comisión.</w:t>
      </w:r>
      <w:r w:rsidRPr="00150FE3">
        <w:rPr>
          <w:lang w:val="es-ES"/>
        </w:rPr>
        <w:t xml:space="preserve"> Posteriormente de forma anual cada EM debe presentar un </w:t>
      </w:r>
      <w:r w:rsidRPr="00150FE3">
        <w:rPr>
          <w:b/>
          <w:lang w:val="es-ES"/>
        </w:rPr>
        <w:t>Informe de Cumplimiento del Plan Estrat</w:t>
      </w:r>
      <w:r w:rsidRPr="00150FE3">
        <w:rPr>
          <w:rFonts w:ascii="Calibri" w:hAnsi="Calibri" w:cs="Calibri"/>
          <w:b/>
          <w:lang w:val="es-ES"/>
        </w:rPr>
        <w:t>é</w:t>
      </w:r>
      <w:r w:rsidRPr="00150FE3">
        <w:rPr>
          <w:b/>
          <w:lang w:val="es-ES"/>
        </w:rPr>
        <w:t xml:space="preserve">gico </w:t>
      </w:r>
      <w:r w:rsidRPr="00150FE3">
        <w:rPr>
          <w:lang w:val="es-ES"/>
        </w:rPr>
        <w:t xml:space="preserve">que muestre los progresos realizados de acuerdo con una de serie de </w:t>
      </w:r>
      <w:r w:rsidRPr="00150FE3">
        <w:rPr>
          <w:b/>
          <w:lang w:val="es-ES"/>
        </w:rPr>
        <w:t>indicadores de resultados específicos</w:t>
      </w:r>
      <w:r w:rsidRPr="00150FE3">
        <w:rPr>
          <w:lang w:val="es-ES"/>
        </w:rPr>
        <w:t>. La Comisi</w:t>
      </w:r>
      <w:r>
        <w:rPr>
          <w:rFonts w:ascii="Calibri" w:hAnsi="Calibri" w:cs="Calibri"/>
          <w:lang w:val="es-ES"/>
        </w:rPr>
        <w:t xml:space="preserve">ón </w:t>
      </w:r>
      <w:r w:rsidRPr="00150FE3">
        <w:rPr>
          <w:lang w:val="es-ES"/>
        </w:rPr>
        <w:t>revisar</w:t>
      </w:r>
      <w:r>
        <w:rPr>
          <w:rFonts w:ascii="Calibri" w:hAnsi="Calibri" w:cs="Calibri"/>
          <w:lang w:val="es-ES"/>
        </w:rPr>
        <w:t xml:space="preserve">á </w:t>
      </w:r>
      <w:r w:rsidRPr="00150FE3">
        <w:rPr>
          <w:lang w:val="es-ES"/>
        </w:rPr>
        <w:t>estos planes de cumplimiento y tomar</w:t>
      </w:r>
      <w:r>
        <w:rPr>
          <w:rFonts w:ascii="Calibri" w:hAnsi="Calibri" w:cs="Calibri"/>
          <w:lang w:val="es-ES"/>
        </w:rPr>
        <w:t xml:space="preserve">á </w:t>
      </w:r>
      <w:r w:rsidRPr="00150FE3">
        <w:rPr>
          <w:lang w:val="es-ES"/>
        </w:rPr>
        <w:t>las acciones apropiadas a la vista de los resultados.</w:t>
      </w:r>
    </w:p>
    <w:p w14:paraId="0A361C7A" w14:textId="77777777" w:rsidR="00150FE3" w:rsidRPr="00150FE3" w:rsidRDefault="00150FE3" w:rsidP="00150FE3">
      <w:pPr>
        <w:rPr>
          <w:lang w:val="es-ES"/>
        </w:rPr>
      </w:pPr>
    </w:p>
    <w:p w14:paraId="58EF1CA1" w14:textId="77777777" w:rsidR="00150FE3" w:rsidRPr="00150FE3" w:rsidRDefault="00150FE3" w:rsidP="00150FE3">
      <w:pPr>
        <w:pStyle w:val="Ttulo1"/>
        <w:rPr>
          <w:lang w:val="es-ES"/>
        </w:rPr>
      </w:pPr>
      <w:r>
        <w:rPr>
          <w:lang w:val="es-ES"/>
        </w:rPr>
        <w:t>Modulación</w:t>
      </w:r>
    </w:p>
    <w:p w14:paraId="682A420C" w14:textId="77777777" w:rsidR="00150FE3" w:rsidRPr="00150FE3" w:rsidRDefault="00150FE3" w:rsidP="00150FE3">
      <w:pPr>
        <w:rPr>
          <w:lang w:val="es-ES"/>
        </w:rPr>
      </w:pPr>
    </w:p>
    <w:p w14:paraId="3834C656" w14:textId="77777777" w:rsidR="00150FE3" w:rsidRPr="00150FE3" w:rsidRDefault="00150FE3" w:rsidP="00150FE3">
      <w:pPr>
        <w:rPr>
          <w:lang w:val="es-ES"/>
        </w:rPr>
      </w:pPr>
      <w:r w:rsidRPr="00150FE3">
        <w:rPr>
          <w:b/>
          <w:lang w:val="es-ES"/>
        </w:rPr>
        <w:t xml:space="preserve">Los pagos directos se reducirán a partir de los 60.000 </w:t>
      </w:r>
      <w:r>
        <w:rPr>
          <w:b/>
          <w:lang w:val="es-ES"/>
        </w:rPr>
        <w:t>€/</w:t>
      </w:r>
      <w:r w:rsidRPr="00150FE3">
        <w:rPr>
          <w:rFonts w:ascii="Calibri" w:hAnsi="Calibri" w:cs="Calibri"/>
          <w:b/>
          <w:lang w:val="es-ES"/>
        </w:rPr>
        <w:t>año</w:t>
      </w:r>
      <w:r w:rsidRPr="00150FE3">
        <w:rPr>
          <w:b/>
          <w:lang w:val="es-ES"/>
        </w:rPr>
        <w:t xml:space="preserve"> y se limitarán en el caso de que superen los 100.000 </w:t>
      </w:r>
      <w:r>
        <w:rPr>
          <w:b/>
          <w:lang w:val="es-ES"/>
        </w:rPr>
        <w:t>€/</w:t>
      </w:r>
      <w:r>
        <w:rPr>
          <w:rFonts w:ascii="Calibri" w:hAnsi="Calibri" w:cs="Calibri"/>
          <w:b/>
          <w:lang w:val="es-ES"/>
        </w:rPr>
        <w:t>a</w:t>
      </w:r>
      <w:r w:rsidRPr="00150FE3">
        <w:rPr>
          <w:rFonts w:ascii="Calibri" w:hAnsi="Calibri" w:cs="Calibri"/>
          <w:b/>
          <w:lang w:val="es-ES"/>
        </w:rPr>
        <w:t>ño</w:t>
      </w:r>
      <w:r w:rsidRPr="00150FE3">
        <w:rPr>
          <w:b/>
          <w:lang w:val="es-ES"/>
        </w:rPr>
        <w:t xml:space="preserve"> por explotaci</w:t>
      </w:r>
      <w:r w:rsidRPr="00150FE3">
        <w:rPr>
          <w:rFonts w:ascii="Calibri" w:hAnsi="Calibri" w:cs="Calibri"/>
          <w:b/>
          <w:lang w:val="es-ES"/>
        </w:rPr>
        <w:t>ó</w:t>
      </w:r>
      <w:r w:rsidRPr="00150FE3">
        <w:rPr>
          <w:b/>
          <w:lang w:val="es-ES"/>
        </w:rPr>
        <w:t>n</w:t>
      </w:r>
      <w:r>
        <w:rPr>
          <w:b/>
          <w:lang w:val="es-ES"/>
        </w:rPr>
        <w:t>.</w:t>
      </w:r>
    </w:p>
    <w:p w14:paraId="5BA9B45F" w14:textId="77777777" w:rsidR="00150FE3" w:rsidRPr="00150FE3" w:rsidRDefault="00150FE3" w:rsidP="00150FE3">
      <w:pPr>
        <w:rPr>
          <w:lang w:val="es-ES"/>
        </w:rPr>
      </w:pPr>
    </w:p>
    <w:p w14:paraId="18798644" w14:textId="77777777" w:rsidR="00150FE3" w:rsidRPr="00150FE3" w:rsidRDefault="00150FE3" w:rsidP="00150FE3">
      <w:pPr>
        <w:rPr>
          <w:lang w:val="es-ES"/>
        </w:rPr>
      </w:pPr>
      <w:r w:rsidRPr="00150FE3">
        <w:rPr>
          <w:lang w:val="es-ES"/>
        </w:rPr>
        <w:t>Sin embargo parece que estos l</w:t>
      </w:r>
      <w:r>
        <w:rPr>
          <w:lang w:val="es-ES"/>
        </w:rPr>
        <w:t>í</w:t>
      </w:r>
      <w:r w:rsidRPr="00150FE3">
        <w:rPr>
          <w:lang w:val="es-ES"/>
        </w:rPr>
        <w:t>mites no se refieren al valor de la producci</w:t>
      </w:r>
      <w:r>
        <w:rPr>
          <w:rFonts w:ascii="Calibri" w:hAnsi="Calibri" w:cs="Calibri"/>
          <w:lang w:val="es-ES"/>
        </w:rPr>
        <w:t xml:space="preserve">ón </w:t>
      </w:r>
      <w:r w:rsidRPr="00150FE3">
        <w:rPr>
          <w:lang w:val="es-ES"/>
        </w:rPr>
        <w:t>sino al margen de explotaci</w:t>
      </w:r>
      <w:r>
        <w:rPr>
          <w:rFonts w:ascii="Calibri" w:hAnsi="Calibri" w:cs="Calibri"/>
          <w:lang w:val="es-ES"/>
        </w:rPr>
        <w:t xml:space="preserve">ón </w:t>
      </w:r>
      <w:r w:rsidRPr="00150FE3">
        <w:rPr>
          <w:lang w:val="es-ES"/>
        </w:rPr>
        <w:t>una vez descontados los costes laborales.</w:t>
      </w:r>
    </w:p>
    <w:p w14:paraId="0920ABCF" w14:textId="77777777" w:rsidR="00150FE3" w:rsidRPr="00150FE3" w:rsidRDefault="00150FE3" w:rsidP="00150FE3">
      <w:pPr>
        <w:rPr>
          <w:b/>
          <w:lang w:val="es-ES"/>
        </w:rPr>
      </w:pPr>
      <w:r w:rsidRPr="00150FE3">
        <w:rPr>
          <w:lang w:val="es-ES"/>
        </w:rPr>
        <w:t>Esta forma de calcular la modulaci</w:t>
      </w:r>
      <w:r>
        <w:rPr>
          <w:lang w:val="es-ES"/>
        </w:rPr>
        <w:t xml:space="preserve">ón </w:t>
      </w:r>
      <w:r w:rsidRPr="00150FE3">
        <w:rPr>
          <w:lang w:val="es-ES"/>
        </w:rPr>
        <w:t>de las ayudas en principio resultar</w:t>
      </w:r>
      <w:r>
        <w:rPr>
          <w:rFonts w:ascii="Calibri" w:hAnsi="Calibri" w:cs="Calibri"/>
          <w:lang w:val="es-ES"/>
        </w:rPr>
        <w:t>á</w:t>
      </w:r>
      <w:r>
        <w:rPr>
          <w:lang w:val="es-ES"/>
        </w:rPr>
        <w:t xml:space="preserve"> </w:t>
      </w:r>
      <w:r w:rsidRPr="00150FE3">
        <w:rPr>
          <w:lang w:val="es-ES"/>
        </w:rPr>
        <w:t xml:space="preserve">menos penalizadora para las explotaciones que generan empleo. Sin embargo </w:t>
      </w:r>
      <w:r w:rsidRPr="00150FE3">
        <w:rPr>
          <w:b/>
          <w:lang w:val="es-ES"/>
        </w:rPr>
        <w:t>puede levantar una barrera competitiva para la agricultura exportadora si no se incluyen los inputs en el cálculo de los márgenes de explotaci</w:t>
      </w:r>
      <w:r w:rsidRPr="00150FE3">
        <w:rPr>
          <w:rFonts w:ascii="Calibri" w:hAnsi="Calibri" w:cs="Calibri"/>
          <w:b/>
          <w:lang w:val="es-ES"/>
        </w:rPr>
        <w:t>ó</w:t>
      </w:r>
      <w:r w:rsidRPr="00150FE3">
        <w:rPr>
          <w:b/>
          <w:lang w:val="es-ES"/>
        </w:rPr>
        <w:t>n</w:t>
      </w:r>
      <w:r>
        <w:rPr>
          <w:b/>
          <w:lang w:val="es-ES"/>
        </w:rPr>
        <w:t>.</w:t>
      </w:r>
    </w:p>
    <w:p w14:paraId="456BD427" w14:textId="77777777" w:rsidR="00150FE3" w:rsidRPr="00150FE3" w:rsidRDefault="00150FE3" w:rsidP="00150FE3">
      <w:pPr>
        <w:rPr>
          <w:lang w:val="es-ES"/>
        </w:rPr>
      </w:pPr>
    </w:p>
    <w:p w14:paraId="54B6BF99" w14:textId="77777777" w:rsidR="00150FE3" w:rsidRPr="00150FE3" w:rsidRDefault="00150FE3" w:rsidP="00150FE3">
      <w:pPr>
        <w:rPr>
          <w:lang w:val="es-ES"/>
        </w:rPr>
      </w:pPr>
      <w:r>
        <w:rPr>
          <w:lang w:val="es-ES"/>
        </w:rPr>
        <w:t>En la agricultura mediterránea</w:t>
      </w:r>
      <w:r w:rsidRPr="00150FE3">
        <w:rPr>
          <w:lang w:val="es-ES"/>
        </w:rPr>
        <w:t xml:space="preserve"> orientada a la exportaci</w:t>
      </w:r>
      <w:r>
        <w:rPr>
          <w:rFonts w:ascii="Calibri" w:hAnsi="Calibri" w:cs="Calibri"/>
          <w:lang w:val="es-ES"/>
        </w:rPr>
        <w:t xml:space="preserve">ón </w:t>
      </w:r>
      <w:r w:rsidRPr="00150FE3">
        <w:rPr>
          <w:lang w:val="es-ES"/>
        </w:rPr>
        <w:t xml:space="preserve">generalmente se utilizan </w:t>
      </w:r>
      <w:r>
        <w:rPr>
          <w:lang w:val="es-ES"/>
        </w:rPr>
        <w:t xml:space="preserve">más </w:t>
      </w:r>
      <w:r w:rsidRPr="00150FE3">
        <w:rPr>
          <w:lang w:val="es-ES"/>
        </w:rPr>
        <w:t xml:space="preserve">inputs intermedios por unidad de producto que en la agricultura continental con lo cual si en el </w:t>
      </w:r>
      <w:r>
        <w:rPr>
          <w:lang w:val="es-ES"/>
        </w:rPr>
        <w:t xml:space="preserve">cálculo </w:t>
      </w:r>
      <w:r w:rsidRPr="00150FE3">
        <w:rPr>
          <w:lang w:val="es-ES"/>
        </w:rPr>
        <w:t>del margen de explotaci</w:t>
      </w:r>
      <w:r>
        <w:rPr>
          <w:rFonts w:ascii="Calibri" w:hAnsi="Calibri" w:cs="Calibri"/>
          <w:lang w:val="es-ES"/>
        </w:rPr>
        <w:t xml:space="preserve">ón </w:t>
      </w:r>
      <w:r w:rsidRPr="00150FE3">
        <w:rPr>
          <w:lang w:val="es-ES"/>
        </w:rPr>
        <w:t>a efectos de modular las ayudas directas no se incluyen los inputs intermedios autom</w:t>
      </w:r>
      <w:r>
        <w:rPr>
          <w:lang w:val="es-ES"/>
        </w:rPr>
        <w:t>ática</w:t>
      </w:r>
      <w:r w:rsidRPr="00150FE3">
        <w:rPr>
          <w:lang w:val="es-ES"/>
        </w:rPr>
        <w:t>mente se genera un sesgo a favor de la agricultura continental.</w:t>
      </w:r>
    </w:p>
    <w:p w14:paraId="01E12BD9" w14:textId="77777777" w:rsidR="00150FE3" w:rsidRPr="00150FE3" w:rsidRDefault="00150FE3" w:rsidP="00150FE3">
      <w:pPr>
        <w:rPr>
          <w:lang w:val="es-ES"/>
        </w:rPr>
      </w:pPr>
    </w:p>
    <w:p w14:paraId="365BE073" w14:textId="77777777" w:rsidR="00150FE3" w:rsidRPr="00150FE3" w:rsidRDefault="00150FE3" w:rsidP="00150FE3">
      <w:pPr>
        <w:rPr>
          <w:lang w:val="es-ES"/>
        </w:rPr>
      </w:pPr>
      <w:r w:rsidRPr="00150FE3">
        <w:rPr>
          <w:lang w:val="es-ES"/>
        </w:rPr>
        <w:lastRenderedPageBreak/>
        <w:t xml:space="preserve">Ya que las frutas y verduras incorporan </w:t>
      </w:r>
      <w:r>
        <w:rPr>
          <w:lang w:val="es-ES"/>
        </w:rPr>
        <w:t xml:space="preserve">más </w:t>
      </w:r>
      <w:r w:rsidRPr="00150FE3">
        <w:rPr>
          <w:lang w:val="es-ES"/>
        </w:rPr>
        <w:t>inputs por unidad de producto (p. e.: Agua y energía, fertilizantes y fitosanitarios) que los productos de la agricultura continental, como p. e., los cereales.</w:t>
      </w:r>
    </w:p>
    <w:p w14:paraId="7DBE7398" w14:textId="77777777" w:rsidR="00150FE3" w:rsidRPr="00150FE3" w:rsidRDefault="00150FE3" w:rsidP="00150FE3">
      <w:pPr>
        <w:rPr>
          <w:lang w:val="es-ES"/>
        </w:rPr>
      </w:pPr>
    </w:p>
    <w:p w14:paraId="0E657A92" w14:textId="77777777" w:rsidR="00150FE3" w:rsidRPr="00150FE3" w:rsidRDefault="00150FE3" w:rsidP="00150FE3">
      <w:pPr>
        <w:rPr>
          <w:lang w:val="es-ES"/>
        </w:rPr>
      </w:pPr>
      <w:r w:rsidRPr="00150FE3">
        <w:rPr>
          <w:lang w:val="es-ES"/>
        </w:rPr>
        <w:t>Ade</w:t>
      </w:r>
      <w:r>
        <w:rPr>
          <w:lang w:val="es-ES"/>
        </w:rPr>
        <w:t xml:space="preserve">más, </w:t>
      </w:r>
      <w:r w:rsidRPr="00150FE3">
        <w:rPr>
          <w:lang w:val="es-ES"/>
        </w:rPr>
        <w:t>la mayor parte de las exportaciones espa</w:t>
      </w:r>
      <w:r>
        <w:rPr>
          <w:rFonts w:ascii="Calibri" w:hAnsi="Calibri" w:cs="Calibri"/>
          <w:lang w:val="es-ES"/>
        </w:rPr>
        <w:t>ñ</w:t>
      </w:r>
      <w:r w:rsidRPr="00150FE3">
        <w:rPr>
          <w:lang w:val="es-ES"/>
        </w:rPr>
        <w:t xml:space="preserve">olas (frutas y hortalizas, aceite de oliva, vino) se producen en la agricultura de </w:t>
      </w:r>
      <w:r>
        <w:rPr>
          <w:lang w:val="es-ES"/>
        </w:rPr>
        <w:t xml:space="preserve">regadío </w:t>
      </w:r>
      <w:r w:rsidRPr="00150FE3">
        <w:rPr>
          <w:lang w:val="es-ES"/>
        </w:rPr>
        <w:t>(tambi</w:t>
      </w:r>
      <w:r>
        <w:rPr>
          <w:rFonts w:ascii="Calibri" w:hAnsi="Calibri" w:cs="Calibri"/>
          <w:lang w:val="es-ES"/>
        </w:rPr>
        <w:t>é</w:t>
      </w:r>
      <w:r w:rsidRPr="00150FE3">
        <w:rPr>
          <w:lang w:val="es-ES"/>
        </w:rPr>
        <w:t>n intensiva el inputs por unidad de producto). Para este tipo de cultivos son clave no solo</w:t>
      </w:r>
      <w:r>
        <w:rPr>
          <w:lang w:val="es-ES"/>
        </w:rPr>
        <w:t xml:space="preserve"> las ayudas directas sino los </w:t>
      </w:r>
      <w:r w:rsidRPr="00150FE3">
        <w:rPr>
          <w:b/>
          <w:lang w:val="es-ES"/>
        </w:rPr>
        <w:t>costes de riego que incluyen tanto el agua como la energí</w:t>
      </w:r>
      <w:r w:rsidRPr="00150FE3">
        <w:rPr>
          <w:rFonts w:ascii="Calibri" w:hAnsi="Calibri" w:cs="Calibri"/>
          <w:b/>
          <w:lang w:val="es-ES"/>
        </w:rPr>
        <w:t>a</w:t>
      </w:r>
      <w:r w:rsidRPr="00150FE3">
        <w:rPr>
          <w:b/>
          <w:lang w:val="es-ES"/>
        </w:rPr>
        <w:t>.</w:t>
      </w:r>
    </w:p>
    <w:p w14:paraId="661BD953" w14:textId="77777777" w:rsidR="00150FE3" w:rsidRPr="00150FE3" w:rsidRDefault="00150FE3" w:rsidP="00150FE3">
      <w:pPr>
        <w:rPr>
          <w:lang w:val="es-ES"/>
        </w:rPr>
      </w:pPr>
    </w:p>
    <w:p w14:paraId="556D3E63" w14:textId="77777777" w:rsidR="00150FE3" w:rsidRPr="00150FE3" w:rsidRDefault="00150FE3" w:rsidP="00150FE3">
      <w:pPr>
        <w:rPr>
          <w:lang w:val="es-ES"/>
        </w:rPr>
      </w:pPr>
      <w:r w:rsidRPr="00150FE3">
        <w:rPr>
          <w:lang w:val="es-ES"/>
        </w:rPr>
        <w:t>Las propuestas de EconPol tambi</w:t>
      </w:r>
      <w:r>
        <w:rPr>
          <w:lang w:val="es-ES"/>
        </w:rPr>
        <w:t>é</w:t>
      </w:r>
      <w:r w:rsidRPr="00150FE3">
        <w:rPr>
          <w:lang w:val="es-ES"/>
        </w:rPr>
        <w:t>n han sido recogidas en otras medidas pues se reservan cuotas presupuestarias espec</w:t>
      </w:r>
      <w:r>
        <w:rPr>
          <w:lang w:val="es-ES"/>
        </w:rPr>
        <w:t>í</w:t>
      </w:r>
      <w:r w:rsidRPr="00150FE3">
        <w:rPr>
          <w:lang w:val="es-ES"/>
        </w:rPr>
        <w:t>ficas, ade</w:t>
      </w:r>
      <w:r>
        <w:rPr>
          <w:lang w:val="es-ES"/>
        </w:rPr>
        <w:t xml:space="preserve">más </w:t>
      </w:r>
      <w:r w:rsidRPr="00150FE3">
        <w:rPr>
          <w:lang w:val="es-ES"/>
        </w:rPr>
        <w:t>de para los j</w:t>
      </w:r>
      <w:r>
        <w:rPr>
          <w:rFonts w:ascii="Calibri" w:hAnsi="Calibri" w:cs="Calibri"/>
          <w:lang w:val="es-ES"/>
        </w:rPr>
        <w:t>ó</w:t>
      </w:r>
      <w:r w:rsidRPr="00150FE3">
        <w:rPr>
          <w:lang w:val="es-ES"/>
        </w:rPr>
        <w:t>venes agricultores, para acciones medioambientales y agro-clim</w:t>
      </w:r>
      <w:r>
        <w:rPr>
          <w:rFonts w:ascii="Calibri" w:hAnsi="Calibri" w:cs="Calibri"/>
          <w:lang w:val="es-ES"/>
        </w:rPr>
        <w:t>á</w:t>
      </w:r>
      <w:r w:rsidRPr="00150FE3">
        <w:rPr>
          <w:lang w:val="es-ES"/>
        </w:rPr>
        <w:t xml:space="preserve">ticas. </w:t>
      </w:r>
    </w:p>
    <w:p w14:paraId="5AFF31C2" w14:textId="77777777" w:rsidR="00150FE3" w:rsidRPr="00150FE3" w:rsidRDefault="00150FE3" w:rsidP="00150FE3">
      <w:pPr>
        <w:rPr>
          <w:lang w:val="es-ES"/>
        </w:rPr>
      </w:pPr>
    </w:p>
    <w:p w14:paraId="0B24B87F" w14:textId="77777777" w:rsidR="00150FE3" w:rsidRPr="00150FE3" w:rsidRDefault="00150FE3" w:rsidP="00150FE3">
      <w:pPr>
        <w:rPr>
          <w:lang w:val="es-ES"/>
        </w:rPr>
      </w:pPr>
      <w:r w:rsidRPr="00150FE3">
        <w:rPr>
          <w:lang w:val="es-ES"/>
        </w:rPr>
        <w:t xml:space="preserve">Estas </w:t>
      </w:r>
      <w:r>
        <w:rPr>
          <w:lang w:val="es-ES"/>
        </w:rPr>
        <w:t>ú</w:t>
      </w:r>
      <w:r w:rsidRPr="00150FE3">
        <w:rPr>
          <w:lang w:val="es-ES"/>
        </w:rPr>
        <w:t>ltimas deber</w:t>
      </w:r>
      <w:r>
        <w:rPr>
          <w:rFonts w:ascii="Calibri" w:hAnsi="Calibri" w:cs="Calibri"/>
          <w:lang w:val="es-ES"/>
        </w:rPr>
        <w:t>í</w:t>
      </w:r>
      <w:r w:rsidRPr="00150FE3">
        <w:rPr>
          <w:lang w:val="es-ES"/>
        </w:rPr>
        <w:t>an recibir al menos el 30% de los fondos nacionales de desarrollo rural y la Comisi</w:t>
      </w:r>
      <w:r>
        <w:rPr>
          <w:lang w:val="es-ES"/>
        </w:rPr>
        <w:t>ó</w:t>
      </w:r>
      <w:r w:rsidRPr="00150FE3">
        <w:rPr>
          <w:lang w:val="es-ES"/>
        </w:rPr>
        <w:t>n espera que el 40% del presupuesto total de la PAC contribuya a financiar las medidas paliativas del cambio clim</w:t>
      </w:r>
      <w:r>
        <w:rPr>
          <w:rFonts w:ascii="Calibri" w:hAnsi="Calibri" w:cs="Calibri"/>
          <w:lang w:val="es-ES"/>
        </w:rPr>
        <w:t>á</w:t>
      </w:r>
      <w:r w:rsidRPr="00150FE3">
        <w:rPr>
          <w:lang w:val="es-ES"/>
        </w:rPr>
        <w:t>tico.</w:t>
      </w:r>
    </w:p>
    <w:p w14:paraId="1AC68B86" w14:textId="77777777" w:rsidR="00150FE3" w:rsidRPr="00150FE3" w:rsidRDefault="00150FE3" w:rsidP="00150FE3">
      <w:pPr>
        <w:rPr>
          <w:lang w:val="es-ES"/>
        </w:rPr>
      </w:pPr>
    </w:p>
    <w:p w14:paraId="4DE34DAC" w14:textId="77777777" w:rsidR="00150FE3" w:rsidRPr="00150FE3" w:rsidRDefault="00150FE3" w:rsidP="00150FE3">
      <w:pPr>
        <w:rPr>
          <w:lang w:val="es-ES"/>
        </w:rPr>
      </w:pPr>
      <w:r w:rsidRPr="00BE4B69">
        <w:rPr>
          <w:b/>
          <w:color w:val="0070C0"/>
          <w:lang w:val="es-ES"/>
        </w:rPr>
        <w:t>En términos generales lo que se aprecian son movimientos cada vez menos sutiles para incluir cada vez más fondos específicos de otras políticas</w:t>
      </w:r>
      <w:r w:rsidRPr="00150FE3">
        <w:rPr>
          <w:lang w:val="es-ES"/>
        </w:rPr>
        <w:t xml:space="preserve"> (p. e. ambiental, innovaci</w:t>
      </w:r>
      <w:r>
        <w:rPr>
          <w:rFonts w:ascii="Calibri" w:hAnsi="Calibri" w:cs="Calibri"/>
          <w:lang w:val="es-ES"/>
        </w:rPr>
        <w:t>ó</w:t>
      </w:r>
      <w:r w:rsidRPr="00150FE3">
        <w:rPr>
          <w:lang w:val="es-ES"/>
        </w:rPr>
        <w:t>n y sociales) dentro de la r</w:t>
      </w:r>
      <w:r>
        <w:rPr>
          <w:rFonts w:ascii="Calibri" w:hAnsi="Calibri" w:cs="Calibri"/>
          <w:lang w:val="es-ES"/>
        </w:rPr>
        <w:t>ú</w:t>
      </w:r>
      <w:r w:rsidRPr="00150FE3">
        <w:rPr>
          <w:lang w:val="es-ES"/>
        </w:rPr>
        <w:t xml:space="preserve">brica de la PAC. </w:t>
      </w:r>
    </w:p>
    <w:p w14:paraId="2427AFF4" w14:textId="77777777" w:rsidR="00150FE3" w:rsidRPr="00150FE3" w:rsidRDefault="00150FE3" w:rsidP="00150FE3">
      <w:pPr>
        <w:rPr>
          <w:lang w:val="es-ES"/>
        </w:rPr>
      </w:pPr>
    </w:p>
    <w:p w14:paraId="2195EFC5" w14:textId="77777777" w:rsidR="00150FE3" w:rsidRPr="00150FE3" w:rsidRDefault="00150FE3" w:rsidP="00150FE3">
      <w:pPr>
        <w:rPr>
          <w:lang w:val="es-ES"/>
        </w:rPr>
      </w:pPr>
      <w:r w:rsidRPr="00150FE3">
        <w:rPr>
          <w:lang w:val="es-ES"/>
        </w:rPr>
        <w:t xml:space="preserve">Pero sobre todo, lo </w:t>
      </w:r>
      <w:r>
        <w:rPr>
          <w:lang w:val="es-ES"/>
        </w:rPr>
        <w:t xml:space="preserve">más </w:t>
      </w:r>
      <w:r w:rsidRPr="00150FE3">
        <w:rPr>
          <w:lang w:val="es-ES"/>
        </w:rPr>
        <w:t>relevante desde el punto de vista de la econom</w:t>
      </w:r>
      <w:r>
        <w:rPr>
          <w:rFonts w:ascii="Calibri" w:hAnsi="Calibri" w:cs="Calibri"/>
          <w:lang w:val="es-ES"/>
        </w:rPr>
        <w:t>í</w:t>
      </w:r>
      <w:r w:rsidRPr="00150FE3">
        <w:rPr>
          <w:rFonts w:ascii="Calibri" w:hAnsi="Calibri" w:cs="Calibri"/>
          <w:lang w:val="es-ES"/>
        </w:rPr>
        <w:t>a</w:t>
      </w:r>
      <w:r w:rsidRPr="00150FE3">
        <w:rPr>
          <w:lang w:val="es-ES"/>
        </w:rPr>
        <w:t xml:space="preserve"> </w:t>
      </w:r>
      <w:r>
        <w:rPr>
          <w:lang w:val="es-ES"/>
        </w:rPr>
        <w:t xml:space="preserve">política </w:t>
      </w:r>
      <w:r w:rsidRPr="00150FE3">
        <w:rPr>
          <w:lang w:val="es-ES"/>
        </w:rPr>
        <w:t xml:space="preserve">de las reformas de la PAC es que </w:t>
      </w:r>
      <w:r w:rsidRPr="00BE4B69">
        <w:rPr>
          <w:color w:val="0070C0"/>
          <w:lang w:val="es-ES"/>
        </w:rPr>
        <w:t>se ha pasado de discutir cuanto iba a crecer el presupuesto a ver cómo se reparten los recortes presupuestarios</w:t>
      </w:r>
      <w:r w:rsidRPr="00150FE3">
        <w:rPr>
          <w:lang w:val="es-ES"/>
        </w:rPr>
        <w:t xml:space="preserve">. </w:t>
      </w:r>
      <w:r w:rsidRPr="00150FE3">
        <w:rPr>
          <w:b/>
          <w:lang w:val="es-ES"/>
        </w:rPr>
        <w:t>Estos recortes inicialmente podr</w:t>
      </w:r>
      <w:r w:rsidRPr="00150FE3">
        <w:rPr>
          <w:rFonts w:ascii="Calibri" w:hAnsi="Calibri" w:cs="Calibri"/>
          <w:b/>
          <w:lang w:val="es-ES"/>
        </w:rPr>
        <w:t>í</w:t>
      </w:r>
      <w:r w:rsidRPr="00150FE3">
        <w:rPr>
          <w:b/>
          <w:lang w:val="es-ES"/>
        </w:rPr>
        <w:t>an suponer entre un 6 y 10 % globalmente.</w:t>
      </w:r>
    </w:p>
    <w:p w14:paraId="101C2106" w14:textId="77777777" w:rsidR="00150FE3" w:rsidRPr="00150FE3" w:rsidRDefault="00150FE3" w:rsidP="00150FE3">
      <w:pPr>
        <w:rPr>
          <w:lang w:val="es-ES"/>
        </w:rPr>
      </w:pPr>
    </w:p>
    <w:p w14:paraId="222BAF75" w14:textId="77777777" w:rsidR="00150FE3" w:rsidRPr="00150FE3" w:rsidRDefault="00150FE3" w:rsidP="00150FE3">
      <w:pPr>
        <w:rPr>
          <w:lang w:val="es-ES"/>
        </w:rPr>
      </w:pPr>
      <w:r w:rsidRPr="00150FE3">
        <w:rPr>
          <w:rStyle w:val="Ttulo2Car"/>
          <w:lang w:val="es-ES"/>
        </w:rPr>
        <w:t>Principales cambios en la política agrari</w:t>
      </w:r>
      <w:r>
        <w:rPr>
          <w:rStyle w:val="Ttulo2Car"/>
          <w:lang w:val="es-ES"/>
        </w:rPr>
        <w:t>a común</w:t>
      </w:r>
    </w:p>
    <w:p w14:paraId="0A7E687F" w14:textId="16D565EB" w:rsidR="00150FE3" w:rsidRPr="00150FE3" w:rsidRDefault="00F61E07" w:rsidP="00150FE3">
      <w:pPr>
        <w:rPr>
          <w:lang w:val="es-ES"/>
        </w:rPr>
      </w:pPr>
      <w:r>
        <w:rPr>
          <w:lang w:val="es-ES"/>
        </w:rPr>
        <w:t>L</w:t>
      </w:r>
      <w:r w:rsidR="00150FE3" w:rsidRPr="00150FE3">
        <w:rPr>
          <w:lang w:val="es-ES"/>
        </w:rPr>
        <w:t>as normas de la UE sobre ayudas estatales a los Estados miembros se revisaron en 2019. La Comisi</w:t>
      </w:r>
      <w:r w:rsidR="00150FE3">
        <w:rPr>
          <w:lang w:val="es-ES"/>
        </w:rPr>
        <w:t>ó</w:t>
      </w:r>
      <w:r w:rsidR="00150FE3" w:rsidRPr="00150FE3">
        <w:rPr>
          <w:lang w:val="es-ES"/>
        </w:rPr>
        <w:t>n</w:t>
      </w:r>
      <w:r w:rsidR="00150FE3">
        <w:rPr>
          <w:lang w:val="es-ES"/>
        </w:rPr>
        <w:t xml:space="preserve"> </w:t>
      </w:r>
      <w:r w:rsidR="00150FE3" w:rsidRPr="00150FE3">
        <w:rPr>
          <w:b/>
          <w:lang w:val="es-ES"/>
        </w:rPr>
        <w:t>elev</w:t>
      </w:r>
      <w:r w:rsidR="00150FE3" w:rsidRPr="00150FE3">
        <w:rPr>
          <w:rFonts w:ascii="Calibri" w:hAnsi="Calibri" w:cs="Calibri"/>
          <w:b/>
          <w:lang w:val="es-ES"/>
        </w:rPr>
        <w:t>ó</w:t>
      </w:r>
      <w:r w:rsidR="00150FE3" w:rsidRPr="00150FE3">
        <w:rPr>
          <w:b/>
          <w:lang w:val="es-ES"/>
        </w:rPr>
        <w:t xml:space="preserve"> el importe m</w:t>
      </w:r>
      <w:r w:rsidR="00150FE3" w:rsidRPr="00150FE3">
        <w:rPr>
          <w:rFonts w:ascii="Calibri" w:hAnsi="Calibri" w:cs="Calibri"/>
          <w:b/>
          <w:lang w:val="es-ES"/>
        </w:rPr>
        <w:t>á</w:t>
      </w:r>
      <w:r w:rsidR="00150FE3" w:rsidRPr="00150FE3">
        <w:rPr>
          <w:b/>
          <w:lang w:val="es-ES"/>
        </w:rPr>
        <w:t>ximo de ayuda que pueden recibir los agricultores individuales a 20.</w:t>
      </w:r>
      <w:r w:rsidR="00150FE3">
        <w:rPr>
          <w:b/>
          <w:lang w:val="es-ES"/>
        </w:rPr>
        <w:t>000 EUR</w:t>
      </w:r>
      <w:r w:rsidR="00150FE3" w:rsidRPr="00150FE3">
        <w:rPr>
          <w:lang w:val="es-ES"/>
        </w:rPr>
        <w:t xml:space="preserve"> (22</w:t>
      </w:r>
      <w:r w:rsidR="00150FE3">
        <w:rPr>
          <w:lang w:val="es-ES"/>
        </w:rPr>
        <w:t>.</w:t>
      </w:r>
      <w:r w:rsidR="00150FE3" w:rsidRPr="00150FE3">
        <w:rPr>
          <w:lang w:val="es-ES"/>
        </w:rPr>
        <w:t>388 USD) por explotaci</w:t>
      </w:r>
      <w:r w:rsidR="00150FE3">
        <w:rPr>
          <w:rFonts w:ascii="Calibri" w:hAnsi="Calibri" w:cs="Calibri"/>
          <w:lang w:val="es-ES"/>
        </w:rPr>
        <w:t>ó</w:t>
      </w:r>
      <w:r w:rsidR="00150FE3" w:rsidRPr="00150FE3">
        <w:rPr>
          <w:lang w:val="es-ES"/>
        </w:rPr>
        <w:t>n durante tres a</w:t>
      </w:r>
      <w:r w:rsidR="00150FE3">
        <w:rPr>
          <w:rFonts w:ascii="Calibri" w:hAnsi="Calibri" w:cs="Calibri"/>
          <w:lang w:val="es-ES"/>
        </w:rPr>
        <w:t>ñ</w:t>
      </w:r>
      <w:r w:rsidR="00150FE3" w:rsidRPr="00150FE3">
        <w:rPr>
          <w:lang w:val="es-ES"/>
        </w:rPr>
        <w:t>os sin necesidad de la aprobaci</w:t>
      </w:r>
      <w:r w:rsidR="00150FE3">
        <w:rPr>
          <w:lang w:val="es-ES"/>
        </w:rPr>
        <w:t>ó</w:t>
      </w:r>
      <w:r w:rsidR="00150FE3" w:rsidRPr="00150FE3">
        <w:rPr>
          <w:lang w:val="es-ES"/>
        </w:rPr>
        <w:t>n</w:t>
      </w:r>
      <w:r w:rsidR="00150FE3">
        <w:rPr>
          <w:lang w:val="es-ES"/>
        </w:rPr>
        <w:t xml:space="preserve"> previa de l</w:t>
      </w:r>
      <w:r w:rsidR="00150FE3" w:rsidRPr="00150FE3">
        <w:rPr>
          <w:lang w:val="es-ES"/>
        </w:rPr>
        <w:t>a Comisi</w:t>
      </w:r>
      <w:r w:rsidR="00150FE3">
        <w:rPr>
          <w:rFonts w:ascii="Calibri" w:hAnsi="Calibri" w:cs="Calibri"/>
          <w:lang w:val="es-ES"/>
        </w:rPr>
        <w:t>ó</w:t>
      </w:r>
      <w:r w:rsidR="00150FE3" w:rsidRPr="00150FE3">
        <w:rPr>
          <w:lang w:val="es-ES"/>
        </w:rPr>
        <w:t>n</w:t>
      </w:r>
      <w:r w:rsidR="00150FE3">
        <w:rPr>
          <w:lang w:val="es-ES"/>
        </w:rPr>
        <w:t xml:space="preserve"> Europea. </w:t>
      </w:r>
    </w:p>
    <w:p w14:paraId="2E7B8CAE" w14:textId="77777777" w:rsidR="00150FE3" w:rsidRPr="00150FE3" w:rsidRDefault="00150FE3" w:rsidP="00150FE3">
      <w:pPr>
        <w:rPr>
          <w:lang w:val="es-ES"/>
        </w:rPr>
      </w:pPr>
      <w:r w:rsidRPr="00150FE3">
        <w:rPr>
          <w:lang w:val="es-ES"/>
        </w:rPr>
        <w:t xml:space="preserve">Varios cambios regulatorios fuera de la PAC, pero con implicaciones para el sector </w:t>
      </w:r>
      <w:r>
        <w:rPr>
          <w:lang w:val="es-ES"/>
        </w:rPr>
        <w:t>agrícola</w:t>
      </w:r>
      <w:r w:rsidRPr="00150FE3">
        <w:rPr>
          <w:lang w:val="es-ES"/>
        </w:rPr>
        <w:t>, entraron en vigor en 2019. Estos</w:t>
      </w:r>
      <w:r>
        <w:rPr>
          <w:lang w:val="es-ES"/>
        </w:rPr>
        <w:t xml:space="preserve"> incluyeron nuevas reglas que </w:t>
      </w:r>
      <w:r w:rsidRPr="00150FE3">
        <w:rPr>
          <w:b/>
          <w:lang w:val="es-ES"/>
        </w:rPr>
        <w:t>prohibieron ciertas prácticas comerciales desleales en la industria agrícola, inspecciones de alimentos fortalecidas, reglas armonizadas s</w:t>
      </w:r>
      <w:r>
        <w:rPr>
          <w:b/>
          <w:lang w:val="es-ES"/>
        </w:rPr>
        <w:t>obre la venta de fertilizantes</w:t>
      </w:r>
      <w:r w:rsidRPr="00150FE3">
        <w:rPr>
          <w:lang w:val="es-ES"/>
        </w:rPr>
        <w:t xml:space="preserve"> y estableci</w:t>
      </w:r>
      <w:r>
        <w:rPr>
          <w:rFonts w:ascii="Calibri" w:hAnsi="Calibri" w:cs="Calibri"/>
          <w:lang w:val="es-ES"/>
        </w:rPr>
        <w:t>ó</w:t>
      </w:r>
      <w:r w:rsidRPr="00150FE3">
        <w:rPr>
          <w:lang w:val="es-ES"/>
        </w:rPr>
        <w:t xml:space="preserve"> indicadores de riesgo armonizados para </w:t>
      </w:r>
      <w:r w:rsidRPr="00150FE3">
        <w:rPr>
          <w:lang w:val="es-ES"/>
        </w:rPr>
        <w:lastRenderedPageBreak/>
        <w:t>plaguicidas en todos los Estados miembros con el fin de facilitar el seguim</w:t>
      </w:r>
      <w:r>
        <w:rPr>
          <w:lang w:val="es-ES"/>
        </w:rPr>
        <w:t xml:space="preserve">iento de las tendencias en la </w:t>
      </w:r>
      <w:r w:rsidRPr="00150FE3">
        <w:rPr>
          <w:b/>
          <w:lang w:val="es-ES"/>
        </w:rPr>
        <w:t>reducción del riesgo de plaguicidas</w:t>
      </w:r>
      <w:r w:rsidRPr="00150FE3">
        <w:rPr>
          <w:lang w:val="es-ES"/>
        </w:rPr>
        <w:t xml:space="preserve"> a nivel de la Uni</w:t>
      </w:r>
      <w:r>
        <w:rPr>
          <w:rFonts w:ascii="Calibri" w:hAnsi="Calibri" w:cs="Calibri"/>
          <w:lang w:val="es-ES"/>
        </w:rPr>
        <w:t>ó</w:t>
      </w:r>
      <w:r w:rsidRPr="00150FE3">
        <w:rPr>
          <w:lang w:val="es-ES"/>
        </w:rPr>
        <w:t xml:space="preserve">n. </w:t>
      </w:r>
    </w:p>
    <w:p w14:paraId="54D0C00F" w14:textId="77777777" w:rsidR="00274DC7" w:rsidRPr="00F61E07" w:rsidRDefault="00150FE3" w:rsidP="00150FE3">
      <w:pPr>
        <w:rPr>
          <w:b/>
          <w:bCs/>
          <w:color w:val="00B050"/>
          <w:lang w:val="es-ES"/>
        </w:rPr>
      </w:pPr>
      <w:r w:rsidRPr="00150FE3">
        <w:rPr>
          <w:lang w:val="es-ES"/>
        </w:rPr>
        <w:t>A nivel de los Estados miembros, una serie de cambios pol</w:t>
      </w:r>
      <w:r>
        <w:rPr>
          <w:lang w:val="es-ES"/>
        </w:rPr>
        <w:t>í</w:t>
      </w:r>
      <w:r w:rsidRPr="00150FE3">
        <w:rPr>
          <w:lang w:val="es-ES"/>
        </w:rPr>
        <w:t xml:space="preserve">ticos se centraron en el medio ambiente </w:t>
      </w:r>
      <w:r>
        <w:rPr>
          <w:lang w:val="es-ES"/>
        </w:rPr>
        <w:t>agrícola</w:t>
      </w:r>
      <w:r w:rsidRPr="00150FE3">
        <w:rPr>
          <w:lang w:val="es-ES"/>
        </w:rPr>
        <w:t xml:space="preserve"> y el clima. </w:t>
      </w:r>
      <w:r w:rsidRPr="00F61E07">
        <w:rPr>
          <w:b/>
          <w:bCs/>
          <w:color w:val="00B050"/>
          <w:lang w:val="es-ES"/>
        </w:rPr>
        <w:t>Los pa</w:t>
      </w:r>
      <w:r w:rsidRPr="00F61E07">
        <w:rPr>
          <w:rFonts w:ascii="Calibri" w:hAnsi="Calibri" w:cs="Calibri"/>
          <w:b/>
          <w:bCs/>
          <w:color w:val="00B050"/>
          <w:lang w:val="es-ES"/>
        </w:rPr>
        <w:t>í</w:t>
      </w:r>
      <w:r w:rsidRPr="00F61E07">
        <w:rPr>
          <w:b/>
          <w:bCs/>
          <w:color w:val="00B050"/>
          <w:lang w:val="es-ES"/>
        </w:rPr>
        <w:t>ses implementaron nuevas regulaciones con el objetivo de mejorar la calidad del aire y reducir las emisiones de amon</w:t>
      </w:r>
      <w:r w:rsidRPr="00F61E07">
        <w:rPr>
          <w:rFonts w:ascii="Calibri" w:hAnsi="Calibri" w:cs="Calibri"/>
          <w:b/>
          <w:bCs/>
          <w:color w:val="00B050"/>
          <w:lang w:val="es-ES"/>
        </w:rPr>
        <w:t>í</w:t>
      </w:r>
      <w:r w:rsidRPr="00F61E07">
        <w:rPr>
          <w:b/>
          <w:bCs/>
          <w:color w:val="00B050"/>
          <w:lang w:val="es-ES"/>
        </w:rPr>
        <w:t>aco, mejorar la disponibilidad y calidad del agua, mejorar las condiciones del suelo, fortalecer la economía circular y lograr los objetivos clim</w:t>
      </w:r>
      <w:r w:rsidRPr="00F61E07">
        <w:rPr>
          <w:rFonts w:ascii="Calibri" w:hAnsi="Calibri" w:cs="Calibri"/>
          <w:b/>
          <w:bCs/>
          <w:color w:val="00B050"/>
          <w:lang w:val="es-ES"/>
        </w:rPr>
        <w:t>á</w:t>
      </w:r>
      <w:r w:rsidRPr="00F61E07">
        <w:rPr>
          <w:b/>
          <w:bCs/>
          <w:color w:val="00B050"/>
          <w:lang w:val="es-ES"/>
        </w:rPr>
        <w:t>ticos nacionales.</w:t>
      </w:r>
    </w:p>
    <w:p w14:paraId="6764D8E9" w14:textId="77777777" w:rsidR="00150FE3" w:rsidRDefault="00150FE3" w:rsidP="001630DE">
      <w:pPr>
        <w:pStyle w:val="Ttulo1"/>
        <w:numPr>
          <w:ilvl w:val="0"/>
          <w:numId w:val="3"/>
        </w:numPr>
        <w:rPr>
          <w:lang w:val="es-ES"/>
        </w:rPr>
      </w:pPr>
      <w:r w:rsidRPr="00150FE3">
        <w:rPr>
          <w:lang w:val="es-ES"/>
        </w:rPr>
        <w:t>Resumen</w:t>
      </w:r>
      <w:r>
        <w:rPr>
          <w:lang w:val="es-ES"/>
        </w:rPr>
        <w:t xml:space="preserve"> del presupuesto</w:t>
      </w:r>
      <w:r w:rsidR="00120701">
        <w:rPr>
          <w:rStyle w:val="Refdenotaalpie"/>
          <w:lang w:val="es-ES"/>
        </w:rPr>
        <w:footnoteReference w:id="7"/>
      </w:r>
      <w:r>
        <w:rPr>
          <w:lang w:val="es-ES"/>
        </w:rPr>
        <w:t xml:space="preserve"> </w:t>
      </w:r>
    </w:p>
    <w:p w14:paraId="22E25E34" w14:textId="77777777" w:rsidR="001630DE" w:rsidRPr="001630DE" w:rsidRDefault="001630DE" w:rsidP="001630DE">
      <w:pPr>
        <w:rPr>
          <w:lang w:val="es-ES"/>
        </w:rPr>
      </w:pPr>
    </w:p>
    <w:p w14:paraId="6144B885" w14:textId="77777777" w:rsidR="00CD1DA7" w:rsidRDefault="00150FE3" w:rsidP="00150FE3">
      <w:pPr>
        <w:pStyle w:val="NormalWeb"/>
        <w:shd w:val="clear" w:color="auto" w:fill="FFFFFF"/>
        <w:spacing w:before="0" w:beforeAutospacing="0"/>
        <w:rPr>
          <w:rFonts w:asciiTheme="minorHAnsi" w:eastAsiaTheme="minorHAnsi" w:hAnsiTheme="minorHAnsi" w:cstheme="minorBidi"/>
          <w:sz w:val="22"/>
          <w:szCs w:val="22"/>
          <w:lang w:val="es-ES" w:eastAsia="en-US"/>
        </w:rPr>
      </w:pPr>
      <w:r>
        <w:rPr>
          <w:rFonts w:ascii="Helvetica" w:hAnsi="Helvetica"/>
          <w:color w:val="1E1E1F"/>
          <w:sz w:val="21"/>
          <w:szCs w:val="21"/>
          <w:lang w:val="es-ES"/>
        </w:rPr>
        <w:t xml:space="preserve"> </w:t>
      </w:r>
      <w:r w:rsidRPr="00CD1DA7">
        <w:rPr>
          <w:rFonts w:asciiTheme="minorHAnsi" w:eastAsiaTheme="minorHAnsi" w:hAnsiTheme="minorHAnsi" w:cstheme="minorBidi"/>
          <w:b/>
          <w:sz w:val="22"/>
          <w:szCs w:val="22"/>
          <w:lang w:val="es-ES" w:eastAsia="en-US"/>
        </w:rPr>
        <w:t>El porcentaje que los gastos agrícolas representan en el presupuesto de la Unión disminuye constantemente desde hace varios años.</w:t>
      </w:r>
      <w:r w:rsidRPr="00CD1DA7">
        <w:rPr>
          <w:rFonts w:asciiTheme="minorHAnsi" w:eastAsiaTheme="minorHAnsi" w:hAnsiTheme="minorHAnsi" w:cstheme="minorBidi"/>
          <w:sz w:val="22"/>
          <w:szCs w:val="22"/>
          <w:lang w:val="es-ES" w:eastAsia="en-US"/>
        </w:rPr>
        <w:t xml:space="preserve"> </w:t>
      </w:r>
    </w:p>
    <w:p w14:paraId="2467B909" w14:textId="77777777" w:rsidR="00CD1DA7" w:rsidRDefault="00150FE3" w:rsidP="00150FE3">
      <w:pPr>
        <w:pStyle w:val="NormalWeb"/>
        <w:shd w:val="clear" w:color="auto" w:fill="FFFFFF"/>
        <w:spacing w:before="0" w:beforeAutospacing="0"/>
        <w:rPr>
          <w:rFonts w:asciiTheme="minorHAnsi" w:eastAsiaTheme="minorHAnsi" w:hAnsiTheme="minorHAnsi" w:cstheme="minorBidi"/>
          <w:sz w:val="22"/>
          <w:szCs w:val="22"/>
          <w:lang w:val="es-ES" w:eastAsia="en-US"/>
        </w:rPr>
      </w:pPr>
      <w:r w:rsidRPr="00CD1DA7">
        <w:rPr>
          <w:rFonts w:asciiTheme="minorHAnsi" w:eastAsiaTheme="minorHAnsi" w:hAnsiTheme="minorHAnsi" w:cstheme="minorBidi"/>
          <w:sz w:val="22"/>
          <w:szCs w:val="22"/>
          <w:lang w:val="es-ES" w:eastAsia="en-US"/>
        </w:rPr>
        <w:t xml:space="preserve">Mientras que a principios de la década de los ochenta la PAC representaba un 66 % del presupuesto de la Unión, para el período 2014-2020 tan solo ascendía a un 37,8 %, que ha pasado al 31 % para este período 2021-2027. Desde 1992, año de la primera reforma de envergadura de la PAC y del fuerte incremento de las ayudas directas, los gastos agrícolas han permanecido estables en términos reales, exceptuando los años 1996 y 1997 (debido a la crisis de las vacas locas y a la adhesión de tres nuevos Estados miembros). </w:t>
      </w:r>
    </w:p>
    <w:p w14:paraId="3A324545" w14:textId="77777777" w:rsidR="00150FE3" w:rsidRPr="00CD1DA7" w:rsidRDefault="00150FE3" w:rsidP="00150FE3">
      <w:pPr>
        <w:pStyle w:val="NormalWeb"/>
        <w:shd w:val="clear" w:color="auto" w:fill="FFFFFF"/>
        <w:spacing w:before="0" w:beforeAutospacing="0"/>
        <w:rPr>
          <w:rFonts w:asciiTheme="minorHAnsi" w:eastAsiaTheme="minorHAnsi" w:hAnsiTheme="minorHAnsi" w:cstheme="minorBidi"/>
          <w:b/>
          <w:sz w:val="22"/>
          <w:szCs w:val="22"/>
          <w:lang w:val="es-ES" w:eastAsia="en-US"/>
        </w:rPr>
      </w:pPr>
      <w:r w:rsidRPr="00CD1DA7">
        <w:rPr>
          <w:rFonts w:asciiTheme="minorHAnsi" w:eastAsiaTheme="minorHAnsi" w:hAnsiTheme="minorHAnsi" w:cstheme="minorBidi"/>
          <w:sz w:val="22"/>
          <w:szCs w:val="22"/>
          <w:lang w:val="es-ES" w:eastAsia="en-US"/>
        </w:rPr>
        <w:t xml:space="preserve">Por consiguiente, el </w:t>
      </w:r>
      <w:r w:rsidRPr="00CD1DA7">
        <w:rPr>
          <w:rFonts w:asciiTheme="minorHAnsi" w:eastAsiaTheme="minorHAnsi" w:hAnsiTheme="minorHAnsi" w:cstheme="minorBidi"/>
          <w:b/>
          <w:sz w:val="22"/>
          <w:szCs w:val="22"/>
          <w:lang w:val="es-ES" w:eastAsia="en-US"/>
        </w:rPr>
        <w:t>coste presupuestario de la PAC con respecto a la renta nacional bruta (RNB)</w:t>
      </w:r>
      <w:r w:rsidRPr="00CD1DA7">
        <w:rPr>
          <w:rFonts w:asciiTheme="minorHAnsi" w:eastAsiaTheme="minorHAnsi" w:hAnsiTheme="minorHAnsi" w:cstheme="minorBidi"/>
          <w:sz w:val="22"/>
          <w:szCs w:val="22"/>
          <w:lang w:val="es-ES" w:eastAsia="en-US"/>
        </w:rPr>
        <w:t xml:space="preserve"> de la Unión ha disminuido, </w:t>
      </w:r>
      <w:r w:rsidRPr="00CD1DA7">
        <w:rPr>
          <w:rFonts w:asciiTheme="minorHAnsi" w:eastAsiaTheme="minorHAnsi" w:hAnsiTheme="minorHAnsi" w:cstheme="minorBidi"/>
          <w:b/>
          <w:sz w:val="22"/>
          <w:szCs w:val="22"/>
          <w:lang w:val="es-ES" w:eastAsia="en-US"/>
        </w:rPr>
        <w:t>pasando de un 0,54 % en 1990</w:t>
      </w:r>
      <w:r w:rsidRPr="00CD1DA7">
        <w:rPr>
          <w:rFonts w:asciiTheme="minorHAnsi" w:eastAsiaTheme="minorHAnsi" w:hAnsiTheme="minorHAnsi" w:cstheme="minorBidi"/>
          <w:sz w:val="22"/>
          <w:szCs w:val="22"/>
          <w:lang w:val="es-ES" w:eastAsia="en-US"/>
        </w:rPr>
        <w:t xml:space="preserve"> a una previsión del </w:t>
      </w:r>
      <w:r w:rsidRPr="00CD1DA7">
        <w:rPr>
          <w:rFonts w:asciiTheme="minorHAnsi" w:eastAsiaTheme="minorHAnsi" w:hAnsiTheme="minorHAnsi" w:cstheme="minorBidi"/>
          <w:b/>
          <w:sz w:val="22"/>
          <w:szCs w:val="22"/>
          <w:lang w:val="es-ES" w:eastAsia="en-US"/>
        </w:rPr>
        <w:t>0,32 % para el período 2021-2027.</w:t>
      </w:r>
    </w:p>
    <w:p w14:paraId="359827FB" w14:textId="77777777" w:rsidR="001630DE" w:rsidRDefault="00150FE3" w:rsidP="001630DE">
      <w:pPr>
        <w:pStyle w:val="Ttulo1"/>
        <w:numPr>
          <w:ilvl w:val="0"/>
          <w:numId w:val="3"/>
        </w:numPr>
        <w:rPr>
          <w:lang w:val="es-ES"/>
        </w:rPr>
      </w:pPr>
      <w:r w:rsidRPr="00150FE3">
        <w:rPr>
          <w:lang w:val="es-ES"/>
        </w:rPr>
        <w:t>Reparto de los gastos por categoría y sector</w:t>
      </w:r>
    </w:p>
    <w:p w14:paraId="29429FB4" w14:textId="77777777" w:rsidR="001630DE" w:rsidRPr="001630DE" w:rsidRDefault="001630DE" w:rsidP="001630DE">
      <w:pPr>
        <w:rPr>
          <w:lang w:val="es-ES"/>
        </w:rPr>
      </w:pPr>
    </w:p>
    <w:p w14:paraId="7BF575DB" w14:textId="77777777" w:rsidR="00CD1DA7" w:rsidRPr="00CD1DA7" w:rsidRDefault="00150FE3" w:rsidP="00150FE3">
      <w:pPr>
        <w:pStyle w:val="NormalWeb"/>
        <w:shd w:val="clear" w:color="auto" w:fill="FFFFFF"/>
        <w:spacing w:before="0" w:beforeAutospacing="0"/>
        <w:rPr>
          <w:rFonts w:asciiTheme="minorHAnsi" w:eastAsiaTheme="minorHAnsi" w:hAnsiTheme="minorHAnsi" w:cstheme="minorBidi"/>
          <w:sz w:val="22"/>
          <w:szCs w:val="22"/>
          <w:lang w:val="es-ES" w:eastAsia="en-US"/>
        </w:rPr>
      </w:pPr>
      <w:r w:rsidRPr="00CD1DA7">
        <w:rPr>
          <w:rFonts w:asciiTheme="minorHAnsi" w:eastAsiaTheme="minorHAnsi" w:hAnsiTheme="minorHAnsi" w:cstheme="minorBidi"/>
          <w:b/>
          <w:sz w:val="22"/>
          <w:szCs w:val="22"/>
          <w:lang w:val="es-ES" w:eastAsia="en-US"/>
        </w:rPr>
        <w:t>Los gastos del primer pilar</w:t>
      </w:r>
      <w:r w:rsidRPr="00CD1DA7">
        <w:rPr>
          <w:rFonts w:asciiTheme="minorHAnsi" w:eastAsiaTheme="minorHAnsi" w:hAnsiTheme="minorHAnsi" w:cstheme="minorBidi"/>
          <w:sz w:val="22"/>
          <w:szCs w:val="22"/>
          <w:lang w:val="es-ES" w:eastAsia="en-US"/>
        </w:rPr>
        <w:t xml:space="preserve"> (43 900 millones EUR según el último informe financiero publicado para el ejercicio 2019) </w:t>
      </w:r>
      <w:r w:rsidRPr="00CD1DA7">
        <w:rPr>
          <w:rFonts w:asciiTheme="minorHAnsi" w:eastAsiaTheme="minorHAnsi" w:hAnsiTheme="minorHAnsi" w:cstheme="minorBidi"/>
          <w:b/>
          <w:sz w:val="22"/>
          <w:szCs w:val="22"/>
          <w:lang w:val="es-ES" w:eastAsia="en-US"/>
        </w:rPr>
        <w:t>están compuestos en un 94 % de ayudas directas</w:t>
      </w:r>
      <w:r w:rsidRPr="00CD1DA7">
        <w:rPr>
          <w:rFonts w:asciiTheme="minorHAnsi" w:eastAsiaTheme="minorHAnsi" w:hAnsiTheme="minorHAnsi" w:cstheme="minorBidi"/>
          <w:sz w:val="22"/>
          <w:szCs w:val="22"/>
          <w:lang w:val="es-ES" w:eastAsia="en-US"/>
        </w:rPr>
        <w:t xml:space="preserve"> asignadas a los agricultores (41 330 millones EUR) (</w:t>
      </w:r>
      <w:r w:rsidR="00120701" w:rsidRPr="00CD1DA7">
        <w:rPr>
          <w:rFonts w:asciiTheme="minorHAnsi" w:eastAsiaTheme="minorHAnsi" w:hAnsiTheme="minorHAnsi" w:cstheme="minorBidi"/>
          <w:sz w:val="22"/>
          <w:szCs w:val="22"/>
          <w:lang w:val="es-ES" w:eastAsia="en-US"/>
        </w:rPr>
        <w:t xml:space="preserve">Véase Massot, 2021 </w:t>
      </w:r>
      <w:hyperlink r:id="rId13" w:history="1">
        <w:r w:rsidRPr="005F691A">
          <w:rPr>
            <w:rFonts w:asciiTheme="minorHAnsi" w:eastAsiaTheme="minorHAnsi" w:hAnsiTheme="minorHAnsi" w:cstheme="minorBidi"/>
            <w:sz w:val="22"/>
            <w:szCs w:val="22"/>
            <w:lang w:val="es-ES" w:eastAsia="en-US"/>
          </w:rPr>
          <w:t>3.2.10</w:t>
        </w:r>
      </w:hyperlink>
      <w:r w:rsidRPr="00CD1DA7">
        <w:rPr>
          <w:rFonts w:asciiTheme="minorHAnsi" w:eastAsiaTheme="minorHAnsi" w:hAnsiTheme="minorHAnsi" w:cstheme="minorBidi"/>
          <w:sz w:val="22"/>
          <w:szCs w:val="22"/>
          <w:lang w:val="es-ES" w:eastAsia="en-US"/>
        </w:rPr>
        <w:t xml:space="preserve">, cuadro V, columna 1, a y b). </w:t>
      </w:r>
    </w:p>
    <w:p w14:paraId="12B75EFA" w14:textId="77777777" w:rsidR="00150FE3" w:rsidRPr="00150FE3" w:rsidRDefault="00150FE3" w:rsidP="00150FE3">
      <w:pPr>
        <w:pStyle w:val="NormalWeb"/>
        <w:shd w:val="clear" w:color="auto" w:fill="FFFFFF"/>
        <w:spacing w:before="0" w:beforeAutospacing="0"/>
        <w:rPr>
          <w:rFonts w:ascii="Helvetica" w:hAnsi="Helvetica"/>
          <w:color w:val="1E1E1F"/>
          <w:sz w:val="21"/>
          <w:szCs w:val="21"/>
          <w:lang w:val="es-ES"/>
        </w:rPr>
      </w:pPr>
      <w:r w:rsidRPr="00CD1DA7">
        <w:rPr>
          <w:rFonts w:asciiTheme="minorHAnsi" w:eastAsiaTheme="minorHAnsi" w:hAnsiTheme="minorHAnsi" w:cstheme="minorBidi"/>
          <w:b/>
          <w:sz w:val="22"/>
          <w:szCs w:val="22"/>
          <w:lang w:val="es-ES" w:eastAsia="en-US"/>
        </w:rPr>
        <w:t>El aumento, muy importante, de las ayudas directas desde 1992 ha conllevado como contrapartida una disminución paralela de los demás gastos de la sección «Garantía»</w:t>
      </w:r>
      <w:r w:rsidRPr="00CD1DA7">
        <w:rPr>
          <w:rFonts w:asciiTheme="minorHAnsi" w:eastAsiaTheme="minorHAnsi" w:hAnsiTheme="minorHAnsi" w:cstheme="minorBidi"/>
          <w:sz w:val="22"/>
          <w:szCs w:val="22"/>
          <w:lang w:val="es-ES" w:eastAsia="en-US"/>
        </w:rPr>
        <w:t xml:space="preserve"> del FEOGA/FEAGA: las </w:t>
      </w:r>
      <w:r w:rsidRPr="00CD1DA7">
        <w:rPr>
          <w:rFonts w:asciiTheme="minorHAnsi" w:eastAsiaTheme="minorHAnsi" w:hAnsiTheme="minorHAnsi" w:cstheme="minorBidi"/>
          <w:b/>
          <w:sz w:val="22"/>
          <w:szCs w:val="22"/>
          <w:lang w:val="es-ES" w:eastAsia="en-US"/>
        </w:rPr>
        <w:t>subvenciones a la exportación casi han desaparecido en 2019</w:t>
      </w:r>
      <w:r w:rsidRPr="00CD1DA7">
        <w:rPr>
          <w:rFonts w:asciiTheme="minorHAnsi" w:eastAsiaTheme="minorHAnsi" w:hAnsiTheme="minorHAnsi" w:cstheme="minorBidi"/>
          <w:sz w:val="22"/>
          <w:szCs w:val="22"/>
          <w:lang w:val="es-ES" w:eastAsia="en-US"/>
        </w:rPr>
        <w:t xml:space="preserve"> y las otras </w:t>
      </w:r>
      <w:r w:rsidRPr="00CD1DA7">
        <w:rPr>
          <w:rFonts w:asciiTheme="minorHAnsi" w:eastAsiaTheme="minorHAnsi" w:hAnsiTheme="minorHAnsi" w:cstheme="minorBidi"/>
          <w:b/>
          <w:sz w:val="22"/>
          <w:szCs w:val="22"/>
          <w:lang w:val="es-ES" w:eastAsia="en-US"/>
        </w:rPr>
        <w:t>intervenciones en los mercados</w:t>
      </w:r>
      <w:r w:rsidRPr="00CD1DA7">
        <w:rPr>
          <w:rFonts w:asciiTheme="minorHAnsi" w:eastAsiaTheme="minorHAnsi" w:hAnsiTheme="minorHAnsi" w:cstheme="minorBidi"/>
          <w:sz w:val="22"/>
          <w:szCs w:val="22"/>
          <w:lang w:val="es-ES" w:eastAsia="en-US"/>
        </w:rPr>
        <w:t xml:space="preserve"> (almacenamiento, iniciativas de fomento y de información, programas de distribución en los centros escolares) </w:t>
      </w:r>
      <w:r w:rsidRPr="00CD1DA7">
        <w:rPr>
          <w:rFonts w:asciiTheme="minorHAnsi" w:eastAsiaTheme="minorHAnsi" w:hAnsiTheme="minorHAnsi" w:cstheme="minorBidi"/>
          <w:b/>
          <w:sz w:val="22"/>
          <w:szCs w:val="22"/>
          <w:lang w:val="es-ES" w:eastAsia="en-US"/>
        </w:rPr>
        <w:t>solo ascendieron a 2 600 millones EUR (el 6 % del total)</w:t>
      </w:r>
      <w:r w:rsidRPr="00150FE3">
        <w:rPr>
          <w:rFonts w:ascii="Helvetica" w:hAnsi="Helvetica"/>
          <w:color w:val="1E1E1F"/>
          <w:sz w:val="21"/>
          <w:szCs w:val="21"/>
          <w:lang w:val="es-ES"/>
        </w:rPr>
        <w:t xml:space="preserve"> (</w:t>
      </w:r>
      <w:hyperlink r:id="rId14" w:history="1">
        <w:r w:rsidRPr="00150FE3">
          <w:rPr>
            <w:rStyle w:val="Hipervnculo"/>
            <w:rFonts w:ascii="Helvetica" w:hAnsi="Helvetica"/>
            <w:color w:val="3C77BD"/>
            <w:sz w:val="21"/>
            <w:szCs w:val="21"/>
            <w:lang w:val="es-ES"/>
          </w:rPr>
          <w:t>3.2.4</w:t>
        </w:r>
      </w:hyperlink>
      <w:r w:rsidRPr="00150FE3">
        <w:rPr>
          <w:rFonts w:ascii="Helvetica" w:hAnsi="Helvetica"/>
          <w:color w:val="1E1E1F"/>
          <w:sz w:val="21"/>
          <w:szCs w:val="21"/>
          <w:lang w:val="es-ES"/>
        </w:rPr>
        <w:t>, cuadro 1).</w:t>
      </w:r>
    </w:p>
    <w:p w14:paraId="1FC35F95" w14:textId="77777777" w:rsidR="00150FE3" w:rsidRDefault="00150FE3" w:rsidP="004F6F73">
      <w:pPr>
        <w:pStyle w:val="Ttulo1"/>
        <w:numPr>
          <w:ilvl w:val="0"/>
          <w:numId w:val="3"/>
        </w:numPr>
        <w:rPr>
          <w:lang w:val="es-ES"/>
        </w:rPr>
      </w:pPr>
      <w:r w:rsidRPr="00150FE3">
        <w:rPr>
          <w:lang w:val="es-ES"/>
        </w:rPr>
        <w:t>Reparto por países y tipo de explotación</w:t>
      </w:r>
    </w:p>
    <w:p w14:paraId="2536AAE7" w14:textId="77777777" w:rsidR="004F6F73" w:rsidRPr="004F6F73" w:rsidRDefault="004F6F73" w:rsidP="004F6F73">
      <w:pPr>
        <w:pStyle w:val="Prrafodelista"/>
        <w:rPr>
          <w:lang w:val="es-ES"/>
        </w:rPr>
      </w:pPr>
    </w:p>
    <w:p w14:paraId="3D47163E" w14:textId="77777777" w:rsidR="00CD1DA7" w:rsidRDefault="00150FE3" w:rsidP="00150FE3">
      <w:pPr>
        <w:pStyle w:val="NormalWeb"/>
        <w:shd w:val="clear" w:color="auto" w:fill="FFFFFF"/>
        <w:spacing w:before="0" w:beforeAutospacing="0"/>
        <w:rPr>
          <w:rFonts w:asciiTheme="minorHAnsi" w:eastAsiaTheme="minorHAnsi" w:hAnsiTheme="minorHAnsi" w:cstheme="minorBidi"/>
          <w:sz w:val="22"/>
          <w:szCs w:val="22"/>
          <w:lang w:val="es-ES" w:eastAsia="en-US"/>
        </w:rPr>
      </w:pPr>
      <w:r w:rsidRPr="00CD1DA7">
        <w:rPr>
          <w:rFonts w:asciiTheme="minorHAnsi" w:eastAsiaTheme="minorHAnsi" w:hAnsiTheme="minorHAnsi" w:cstheme="minorBidi"/>
          <w:sz w:val="22"/>
          <w:szCs w:val="22"/>
          <w:lang w:val="es-ES" w:eastAsia="en-US"/>
        </w:rPr>
        <w:lastRenderedPageBreak/>
        <w:t>Tal y como muestra el cuadro V, para el ejercicio presupuestario 2019 (</w:t>
      </w:r>
      <w:hyperlink r:id="rId15" w:history="1">
        <w:r w:rsidRPr="005F691A">
          <w:rPr>
            <w:rFonts w:asciiTheme="minorHAnsi" w:eastAsiaTheme="minorHAnsi" w:hAnsiTheme="minorHAnsi" w:cstheme="minorBidi"/>
            <w:sz w:val="22"/>
            <w:szCs w:val="22"/>
            <w:lang w:val="es-ES" w:eastAsia="en-US"/>
          </w:rPr>
          <w:t>3.2.10</w:t>
        </w:r>
      </w:hyperlink>
      <w:r w:rsidRPr="00CD1DA7">
        <w:rPr>
          <w:rFonts w:asciiTheme="minorHAnsi" w:eastAsiaTheme="minorHAnsi" w:hAnsiTheme="minorHAnsi" w:cstheme="minorBidi"/>
          <w:sz w:val="22"/>
          <w:szCs w:val="22"/>
          <w:lang w:val="es-ES" w:eastAsia="en-US"/>
        </w:rPr>
        <w:t xml:space="preserve">), </w:t>
      </w:r>
      <w:r w:rsidRPr="00CD1DA7">
        <w:rPr>
          <w:rFonts w:asciiTheme="minorHAnsi" w:eastAsiaTheme="minorHAnsi" w:hAnsiTheme="minorHAnsi" w:cstheme="minorBidi"/>
          <w:b/>
          <w:sz w:val="22"/>
          <w:szCs w:val="22"/>
          <w:lang w:val="es-ES" w:eastAsia="en-US"/>
        </w:rPr>
        <w:t>Francia es el primer país beneficiario de la PAC (17,3 %), seguida de España (12,4 %), Alemania (11,2 %) e Italia (10,4 %).</w:t>
      </w:r>
      <w:r w:rsidRPr="00CD1DA7">
        <w:rPr>
          <w:rFonts w:asciiTheme="minorHAnsi" w:eastAsiaTheme="minorHAnsi" w:hAnsiTheme="minorHAnsi" w:cstheme="minorBidi"/>
          <w:sz w:val="22"/>
          <w:szCs w:val="22"/>
          <w:lang w:val="es-ES" w:eastAsia="en-US"/>
        </w:rPr>
        <w:t xml:space="preserve"> En cuanto al </w:t>
      </w:r>
      <w:r w:rsidRPr="00CD1DA7">
        <w:rPr>
          <w:rFonts w:asciiTheme="minorHAnsi" w:eastAsiaTheme="minorHAnsi" w:hAnsiTheme="minorHAnsi" w:cstheme="minorBidi"/>
          <w:b/>
          <w:sz w:val="22"/>
          <w:szCs w:val="22"/>
          <w:lang w:val="es-ES" w:eastAsia="en-US"/>
        </w:rPr>
        <w:t>FEADER, Francia e Italia se sitúan al frente de los beneficiarios</w:t>
      </w:r>
      <w:r w:rsidRPr="00CD1DA7">
        <w:rPr>
          <w:rFonts w:asciiTheme="minorHAnsi" w:eastAsiaTheme="minorHAnsi" w:hAnsiTheme="minorHAnsi" w:cstheme="minorBidi"/>
          <w:sz w:val="22"/>
          <w:szCs w:val="22"/>
          <w:lang w:val="es-ES" w:eastAsia="en-US"/>
        </w:rPr>
        <w:t xml:space="preserve"> (14,9 % y 10,4 %, respectivamente, de los pagos efectivos en 2019), seguidas por Alemania (9,2 %) y España (8,4 %). </w:t>
      </w:r>
    </w:p>
    <w:p w14:paraId="6B2D1672" w14:textId="77777777" w:rsidR="00150FE3" w:rsidRPr="00CD1DA7" w:rsidRDefault="00150FE3" w:rsidP="00150FE3">
      <w:pPr>
        <w:pStyle w:val="NormalWeb"/>
        <w:shd w:val="clear" w:color="auto" w:fill="FFFFFF"/>
        <w:spacing w:before="0" w:beforeAutospacing="0"/>
        <w:rPr>
          <w:rFonts w:asciiTheme="minorHAnsi" w:eastAsiaTheme="minorHAnsi" w:hAnsiTheme="minorHAnsi" w:cstheme="minorBidi"/>
          <w:sz w:val="22"/>
          <w:szCs w:val="22"/>
          <w:lang w:val="es-ES" w:eastAsia="en-US"/>
        </w:rPr>
      </w:pPr>
      <w:r w:rsidRPr="00CD1DA7">
        <w:rPr>
          <w:rFonts w:asciiTheme="minorHAnsi" w:eastAsiaTheme="minorHAnsi" w:hAnsiTheme="minorHAnsi" w:cstheme="minorBidi"/>
          <w:sz w:val="22"/>
          <w:szCs w:val="22"/>
          <w:lang w:val="es-ES" w:eastAsia="en-US"/>
        </w:rPr>
        <w:t>Es preciso recalcar la</w:t>
      </w:r>
      <w:r w:rsidR="004F6F73">
        <w:rPr>
          <w:rFonts w:asciiTheme="minorHAnsi" w:eastAsiaTheme="minorHAnsi" w:hAnsiTheme="minorHAnsi" w:cstheme="minorBidi"/>
          <w:sz w:val="22"/>
          <w:szCs w:val="22"/>
          <w:lang w:val="es-ES" w:eastAsia="en-US"/>
        </w:rPr>
        <w:t xml:space="preserve"> </w:t>
      </w:r>
      <w:r w:rsidR="004F6F73" w:rsidRPr="004F6F73">
        <w:rPr>
          <w:rFonts w:asciiTheme="minorHAnsi" w:eastAsiaTheme="minorHAnsi" w:hAnsiTheme="minorHAnsi" w:cstheme="minorBidi"/>
          <w:b/>
          <w:sz w:val="22"/>
          <w:szCs w:val="22"/>
          <w:lang w:val="es-ES" w:eastAsia="en-US"/>
        </w:rPr>
        <w:t>creciente</w:t>
      </w:r>
      <w:r w:rsidRPr="004F6F73">
        <w:rPr>
          <w:rFonts w:asciiTheme="minorHAnsi" w:eastAsiaTheme="minorHAnsi" w:hAnsiTheme="minorHAnsi" w:cstheme="minorBidi"/>
          <w:b/>
          <w:sz w:val="22"/>
          <w:szCs w:val="22"/>
          <w:lang w:val="es-ES" w:eastAsia="en-US"/>
        </w:rPr>
        <w:t xml:space="preserve"> </w:t>
      </w:r>
      <w:r w:rsidR="004F6F73" w:rsidRPr="004F6F73">
        <w:rPr>
          <w:rFonts w:asciiTheme="minorHAnsi" w:eastAsiaTheme="minorHAnsi" w:hAnsiTheme="minorHAnsi" w:cstheme="minorBidi"/>
          <w:b/>
          <w:sz w:val="22"/>
          <w:szCs w:val="22"/>
          <w:lang w:val="es-ES" w:eastAsia="en-US"/>
        </w:rPr>
        <w:t>influencia</w:t>
      </w:r>
      <w:r w:rsidR="004F6F73" w:rsidRPr="00CD1DA7">
        <w:rPr>
          <w:rFonts w:asciiTheme="minorHAnsi" w:eastAsiaTheme="minorHAnsi" w:hAnsiTheme="minorHAnsi" w:cstheme="minorBidi"/>
          <w:sz w:val="22"/>
          <w:szCs w:val="22"/>
          <w:lang w:val="es-ES" w:eastAsia="en-US"/>
        </w:rPr>
        <w:t xml:space="preserve"> </w:t>
      </w:r>
      <w:r w:rsidRPr="00CD1DA7">
        <w:rPr>
          <w:rFonts w:asciiTheme="minorHAnsi" w:eastAsiaTheme="minorHAnsi" w:hAnsiTheme="minorHAnsi" w:cstheme="minorBidi"/>
          <w:sz w:val="22"/>
          <w:szCs w:val="22"/>
          <w:lang w:val="es-ES" w:eastAsia="en-US"/>
        </w:rPr>
        <w:t xml:space="preserve">relativa </w:t>
      </w:r>
      <w:r w:rsidRPr="004F6F73">
        <w:rPr>
          <w:rFonts w:asciiTheme="minorHAnsi" w:eastAsiaTheme="minorHAnsi" w:hAnsiTheme="minorHAnsi" w:cstheme="minorBidi"/>
          <w:b/>
          <w:sz w:val="22"/>
          <w:szCs w:val="22"/>
          <w:lang w:val="es-ES" w:eastAsia="en-US"/>
        </w:rPr>
        <w:t>de los nuevos Estados miembros (EU-13) sobre el FEAGA</w:t>
      </w:r>
      <w:r w:rsidRPr="00CD1DA7">
        <w:rPr>
          <w:rFonts w:asciiTheme="minorHAnsi" w:eastAsiaTheme="minorHAnsi" w:hAnsiTheme="minorHAnsi" w:cstheme="minorBidi"/>
          <w:sz w:val="22"/>
          <w:szCs w:val="22"/>
          <w:lang w:val="es-ES" w:eastAsia="en-US"/>
        </w:rPr>
        <w:t xml:space="preserve"> (un 26,8 % en 2019). </w:t>
      </w:r>
      <w:r w:rsidR="004F6F73">
        <w:rPr>
          <w:rFonts w:asciiTheme="minorHAnsi" w:eastAsiaTheme="minorHAnsi" w:hAnsiTheme="minorHAnsi" w:cstheme="minorBidi"/>
          <w:sz w:val="22"/>
          <w:szCs w:val="22"/>
          <w:lang w:val="es-ES" w:eastAsia="en-US"/>
        </w:rPr>
        <w:t>Además</w:t>
      </w:r>
      <w:r w:rsidRPr="00CD1DA7">
        <w:rPr>
          <w:rFonts w:asciiTheme="minorHAnsi" w:eastAsiaTheme="minorHAnsi" w:hAnsiTheme="minorHAnsi" w:cstheme="minorBidi"/>
          <w:sz w:val="22"/>
          <w:szCs w:val="22"/>
          <w:lang w:val="es-ES" w:eastAsia="en-US"/>
        </w:rPr>
        <w:t xml:space="preserve">, estos países </w:t>
      </w:r>
      <w:r w:rsidRPr="004F6F73">
        <w:rPr>
          <w:rFonts w:asciiTheme="minorHAnsi" w:eastAsiaTheme="minorHAnsi" w:hAnsiTheme="minorHAnsi" w:cstheme="minorBidi"/>
          <w:b/>
          <w:sz w:val="22"/>
          <w:szCs w:val="22"/>
          <w:lang w:val="es-ES" w:eastAsia="en-US"/>
        </w:rPr>
        <w:t>ya perciben una parte significativa del FEADER</w:t>
      </w:r>
      <w:r w:rsidRPr="00CD1DA7">
        <w:rPr>
          <w:rFonts w:asciiTheme="minorHAnsi" w:eastAsiaTheme="minorHAnsi" w:hAnsiTheme="minorHAnsi" w:cstheme="minorBidi"/>
          <w:sz w:val="22"/>
          <w:szCs w:val="22"/>
          <w:lang w:val="es-ES" w:eastAsia="en-US"/>
        </w:rPr>
        <w:t xml:space="preserve"> (un 32,2 %), en aplicación de la prioridad concedida a la modernización de las estructuras agrícolas y al desarrollo de las zonas rurales.</w:t>
      </w:r>
    </w:p>
    <w:p w14:paraId="3BC31005" w14:textId="3541E7F9" w:rsidR="00120701" w:rsidRDefault="00150FE3" w:rsidP="00150FE3">
      <w:pPr>
        <w:pStyle w:val="NormalWeb"/>
        <w:shd w:val="clear" w:color="auto" w:fill="FFFFFF"/>
        <w:spacing w:before="0" w:beforeAutospacing="0"/>
        <w:rPr>
          <w:rFonts w:ascii="Helvetica" w:hAnsi="Helvetica"/>
          <w:b/>
          <w:color w:val="1E1E1F"/>
          <w:sz w:val="21"/>
          <w:szCs w:val="21"/>
          <w:lang w:val="es-ES"/>
        </w:rPr>
      </w:pPr>
      <w:r w:rsidRPr="00150FE3">
        <w:rPr>
          <w:rFonts w:ascii="Helvetica" w:hAnsi="Helvetica"/>
          <w:b/>
          <w:color w:val="1E1E1F"/>
          <w:sz w:val="21"/>
          <w:szCs w:val="21"/>
          <w:lang w:val="es-ES"/>
        </w:rPr>
        <w:t xml:space="preserve">El reparto desigual de las ayudas directas de la PAC entre las explotaciones: un 74,9 % de los beneficiarios de la PAC de la Europa de los Veintiocho percibieron en 2019 menos de 5 000 EUR anuales, con un importe total equivalente al 15,1 % del total de las </w:t>
      </w:r>
      <w:r w:rsidRPr="00CD1DA7">
        <w:rPr>
          <w:rFonts w:asciiTheme="minorHAnsi" w:eastAsiaTheme="minorHAnsi" w:hAnsiTheme="minorHAnsi" w:cstheme="minorBidi"/>
          <w:sz w:val="22"/>
          <w:szCs w:val="22"/>
          <w:lang w:val="es-ES" w:eastAsia="en-US"/>
        </w:rPr>
        <w:t>ayudas directas abonadas con cargo al FEAGA, mientras que un porcentaje muy</w:t>
      </w:r>
      <w:r w:rsidRPr="00150FE3">
        <w:rPr>
          <w:rFonts w:ascii="Helvetica" w:hAnsi="Helvetica"/>
          <w:b/>
          <w:color w:val="1E1E1F"/>
          <w:sz w:val="21"/>
          <w:szCs w:val="21"/>
          <w:lang w:val="es-ES"/>
        </w:rPr>
        <w:t xml:space="preserve"> reducido de las explotaciones </w:t>
      </w:r>
      <w:r w:rsidRPr="00120701">
        <w:rPr>
          <w:rFonts w:ascii="Helvetica" w:hAnsi="Helvetica"/>
          <w:color w:val="1E1E1F"/>
          <w:sz w:val="21"/>
          <w:szCs w:val="21"/>
          <w:lang w:val="es-ES"/>
        </w:rPr>
        <w:t>(121</w:t>
      </w:r>
      <w:r w:rsidR="004B41D6">
        <w:rPr>
          <w:rFonts w:ascii="Helvetica" w:hAnsi="Helvetica"/>
          <w:color w:val="1E1E1F"/>
          <w:sz w:val="21"/>
          <w:szCs w:val="21"/>
          <w:lang w:val="es-ES"/>
        </w:rPr>
        <w:t>.</w:t>
      </w:r>
      <w:r w:rsidRPr="00120701">
        <w:rPr>
          <w:rFonts w:ascii="Helvetica" w:hAnsi="Helvetica"/>
          <w:color w:val="1E1E1F"/>
          <w:sz w:val="21"/>
          <w:szCs w:val="21"/>
          <w:lang w:val="es-ES"/>
        </w:rPr>
        <w:t>844 de un total de 6,3 millones, es decir, un 1,93 %)</w:t>
      </w:r>
      <w:r w:rsidRPr="00150FE3">
        <w:rPr>
          <w:rFonts w:ascii="Helvetica" w:hAnsi="Helvetica"/>
          <w:b/>
          <w:color w:val="1E1E1F"/>
          <w:sz w:val="21"/>
          <w:szCs w:val="21"/>
          <w:lang w:val="es-ES"/>
        </w:rPr>
        <w:t xml:space="preserve"> percibieron más de 50 000 EUR, </w:t>
      </w:r>
      <w:r w:rsidRPr="00120701">
        <w:rPr>
          <w:rFonts w:ascii="Helvetica" w:hAnsi="Helvetica"/>
          <w:color w:val="1E1E1F"/>
          <w:sz w:val="21"/>
          <w:szCs w:val="21"/>
          <w:lang w:val="es-ES"/>
        </w:rPr>
        <w:t xml:space="preserve">con una cantidad total equivalente a 12 670 millones EUR </w:t>
      </w:r>
      <w:r w:rsidRPr="00150FE3">
        <w:rPr>
          <w:rFonts w:ascii="Helvetica" w:hAnsi="Helvetica"/>
          <w:b/>
          <w:color w:val="1E1E1F"/>
          <w:sz w:val="21"/>
          <w:szCs w:val="21"/>
          <w:lang w:val="es-ES"/>
        </w:rPr>
        <w:t xml:space="preserve">(el 30,6 % del total de las ayudas directas abonadas en 2019). </w:t>
      </w:r>
    </w:p>
    <w:p w14:paraId="454A6C5A" w14:textId="64B65795" w:rsidR="00150FE3" w:rsidRDefault="00150FE3" w:rsidP="00150FE3">
      <w:pPr>
        <w:pStyle w:val="NormalWeb"/>
        <w:shd w:val="clear" w:color="auto" w:fill="FFFFFF"/>
        <w:spacing w:before="0" w:beforeAutospacing="0"/>
        <w:rPr>
          <w:rFonts w:ascii="Helvetica" w:hAnsi="Helvetica"/>
          <w:b/>
          <w:color w:val="0070C0"/>
          <w:sz w:val="21"/>
          <w:szCs w:val="21"/>
          <w:lang w:val="es-ES"/>
        </w:rPr>
      </w:pPr>
      <w:r w:rsidRPr="00150FE3">
        <w:rPr>
          <w:rFonts w:ascii="Helvetica" w:hAnsi="Helvetica"/>
          <w:color w:val="1E1E1F"/>
          <w:sz w:val="21"/>
          <w:szCs w:val="21"/>
          <w:lang w:val="es-ES"/>
        </w:rPr>
        <w:t xml:space="preserve">Los países con un porcentaje más destacado de </w:t>
      </w:r>
      <w:r w:rsidRPr="00120701">
        <w:rPr>
          <w:rFonts w:ascii="Helvetica" w:hAnsi="Helvetica"/>
          <w:b/>
          <w:color w:val="1E1E1F"/>
          <w:sz w:val="21"/>
          <w:szCs w:val="21"/>
          <w:lang w:val="es-ES"/>
        </w:rPr>
        <w:t>grandes explotaciones (o sociedades) beneficiarias de la PAC son Dinamarca, el Reino Unido, Chequia, Eslovaquia y Francia.</w:t>
      </w:r>
      <w:r w:rsidRPr="00120701">
        <w:rPr>
          <w:rFonts w:ascii="Helvetica" w:hAnsi="Helvetica"/>
          <w:color w:val="0070C0"/>
          <w:sz w:val="21"/>
          <w:szCs w:val="21"/>
          <w:lang w:val="es-ES"/>
        </w:rPr>
        <w:t xml:space="preserve"> </w:t>
      </w:r>
      <w:r w:rsidRPr="00120701">
        <w:rPr>
          <w:rFonts w:ascii="Helvetica" w:hAnsi="Helvetica"/>
          <w:b/>
          <w:color w:val="0070C0"/>
          <w:sz w:val="21"/>
          <w:szCs w:val="21"/>
          <w:lang w:val="es-ES"/>
        </w:rPr>
        <w:t>Esta situación plantea problemas de legitimación de las ayudas con respecto a los valores del conjunto de los ciudadanos europeos (progresión fiscal, lucha contra las desigualdades y recuperación socioeconómica en respuesta a la pandemia).</w:t>
      </w:r>
    </w:p>
    <w:p w14:paraId="424ACB4A" w14:textId="69AB167B" w:rsidR="004E29AF" w:rsidRPr="006215AF" w:rsidRDefault="004B41D6" w:rsidP="006215AF">
      <w:pPr>
        <w:pStyle w:val="Ttulo1"/>
        <w:rPr>
          <w:sz w:val="36"/>
          <w:szCs w:val="36"/>
        </w:rPr>
      </w:pPr>
      <w:r w:rsidRPr="006215AF">
        <w:rPr>
          <w:sz w:val="36"/>
          <w:szCs w:val="36"/>
        </w:rPr>
        <w:t>¿Puede convertirse la Política Agrícola Común (PAC) en la política alimentaria de la Unión Europea?</w:t>
      </w:r>
    </w:p>
    <w:p w14:paraId="638A5DE6" w14:textId="77777777" w:rsidR="004B41D6" w:rsidRPr="004B41D6" w:rsidRDefault="004B41D6" w:rsidP="004B41D6">
      <w:pPr>
        <w:rPr>
          <w:lang w:val="es-ES"/>
        </w:rPr>
      </w:pPr>
    </w:p>
    <w:p w14:paraId="3C7A4234" w14:textId="7F795B44" w:rsidR="004E29AF" w:rsidRPr="004E29AF" w:rsidRDefault="004E29AF" w:rsidP="00150FE3">
      <w:pPr>
        <w:pStyle w:val="NormalWeb"/>
        <w:shd w:val="clear" w:color="auto" w:fill="FFFFFF"/>
        <w:spacing w:before="0" w:beforeAutospacing="0"/>
        <w:rPr>
          <w:rFonts w:ascii="Helvetica" w:hAnsi="Helvetica"/>
          <w:bCs/>
          <w:sz w:val="21"/>
          <w:szCs w:val="21"/>
          <w:lang w:val="es-ES"/>
        </w:rPr>
      </w:pPr>
      <w:r w:rsidRPr="004E29AF">
        <w:rPr>
          <w:rFonts w:ascii="Helvetica" w:hAnsi="Helvetica"/>
          <w:bCs/>
          <w:sz w:val="21"/>
          <w:szCs w:val="21"/>
          <w:lang w:val="es-ES"/>
        </w:rPr>
        <w:t xml:space="preserve">RESUMEN </w:t>
      </w:r>
      <w:r w:rsidR="004B41D6">
        <w:rPr>
          <w:rFonts w:ascii="Helvetica" w:hAnsi="Helvetica"/>
          <w:bCs/>
          <w:sz w:val="21"/>
          <w:szCs w:val="21"/>
          <w:lang w:val="es-ES"/>
        </w:rPr>
        <w:t xml:space="preserve">de </w:t>
      </w:r>
      <w:r w:rsidRPr="004E29AF">
        <w:rPr>
          <w:rFonts w:ascii="Helvetica" w:hAnsi="Helvetica"/>
          <w:bCs/>
          <w:sz w:val="21"/>
          <w:szCs w:val="21"/>
          <w:lang w:val="es-ES"/>
        </w:rPr>
        <w:t>MASSOT 2024</w:t>
      </w:r>
      <w:r w:rsidR="00724A9D">
        <w:rPr>
          <w:rStyle w:val="Refdenotaalpie"/>
          <w:rFonts w:ascii="Helvetica" w:hAnsi="Helvetica"/>
          <w:bCs/>
          <w:sz w:val="21"/>
          <w:szCs w:val="21"/>
          <w:lang w:val="es-ES"/>
        </w:rPr>
        <w:footnoteReference w:id="8"/>
      </w:r>
    </w:p>
    <w:p w14:paraId="5AC9087B" w14:textId="0055F7CA" w:rsidR="004E29AF" w:rsidRDefault="004E29AF" w:rsidP="00150FE3">
      <w:pPr>
        <w:pStyle w:val="NormalWeb"/>
        <w:shd w:val="clear" w:color="auto" w:fill="FFFFFF"/>
        <w:spacing w:before="0" w:beforeAutospacing="0"/>
        <w:rPr>
          <w:rFonts w:ascii="Helvetica" w:hAnsi="Helvetica"/>
          <w:bCs/>
          <w:sz w:val="21"/>
          <w:szCs w:val="21"/>
          <w:lang w:val="es-ES"/>
        </w:rPr>
      </w:pPr>
      <w:r w:rsidRPr="004E29AF">
        <w:rPr>
          <w:rFonts w:ascii="Helvetica" w:hAnsi="Helvetica"/>
          <w:bCs/>
          <w:sz w:val="21"/>
          <w:szCs w:val="21"/>
          <w:lang w:val="es-ES"/>
        </w:rPr>
        <w:t xml:space="preserve">1. Las reformas de la PAC adoptadas de 1992 a 2013 desactivaron el sistema de precios de garantía a los productos y los convirtieron en una simple red de seguridad para el caso de graves crisis de mercado. De este modo, la </w:t>
      </w:r>
      <w:r w:rsidR="004B41D6" w:rsidRPr="004B41D6">
        <w:rPr>
          <w:rFonts w:ascii="Helvetica" w:hAnsi="Helvetica"/>
          <w:bCs/>
          <w:sz w:val="22"/>
          <w:szCs w:val="22"/>
          <w:lang w:val="es-ES"/>
        </w:rPr>
        <w:t>PAC</w:t>
      </w:r>
      <w:r w:rsidR="004B41D6">
        <w:rPr>
          <w:rFonts w:ascii="Helvetica" w:hAnsi="Helvetica"/>
          <w:bCs/>
          <w:sz w:val="22"/>
          <w:szCs w:val="22"/>
          <w:lang w:val="es-ES"/>
        </w:rPr>
        <w:t xml:space="preserve"> 1.0</w:t>
      </w:r>
      <w:r w:rsidRPr="004E29AF">
        <w:rPr>
          <w:rFonts w:ascii="Helvetica" w:hAnsi="Helvetica"/>
          <w:bCs/>
          <w:sz w:val="21"/>
          <w:szCs w:val="21"/>
          <w:lang w:val="es-ES"/>
        </w:rPr>
        <w:t xml:space="preserve"> se transformó en la P</w:t>
      </w:r>
      <w:r w:rsidR="004B41D6">
        <w:rPr>
          <w:rFonts w:ascii="Helvetica" w:hAnsi="Helvetica"/>
          <w:bCs/>
          <w:sz w:val="21"/>
          <w:szCs w:val="21"/>
          <w:lang w:val="es-ES"/>
        </w:rPr>
        <w:t>AC 2.0</w:t>
      </w:r>
      <w:r w:rsidRPr="004E29AF">
        <w:rPr>
          <w:rFonts w:ascii="Helvetica" w:hAnsi="Helvetica"/>
          <w:bCs/>
          <w:sz w:val="21"/>
          <w:szCs w:val="21"/>
          <w:lang w:val="es-ES"/>
        </w:rPr>
        <w:t xml:space="preserve"> con: </w:t>
      </w:r>
    </w:p>
    <w:p w14:paraId="47DE7478" w14:textId="77777777" w:rsidR="004E29AF" w:rsidRDefault="004E29AF" w:rsidP="00150FE3">
      <w:pPr>
        <w:pStyle w:val="NormalWeb"/>
        <w:shd w:val="clear" w:color="auto" w:fill="FFFFFF"/>
        <w:spacing w:before="0" w:beforeAutospacing="0"/>
        <w:rPr>
          <w:rFonts w:ascii="Helvetica" w:hAnsi="Helvetica"/>
          <w:bCs/>
          <w:sz w:val="21"/>
          <w:szCs w:val="21"/>
          <w:lang w:val="es-ES"/>
        </w:rPr>
      </w:pPr>
      <w:r w:rsidRPr="004E29AF">
        <w:rPr>
          <w:rFonts w:ascii="Helvetica" w:hAnsi="Helvetica"/>
          <w:bCs/>
          <w:sz w:val="21"/>
          <w:szCs w:val="21"/>
          <w:lang w:val="es-ES"/>
        </w:rPr>
        <w:t xml:space="preserve">1) el grueso de su apoyo materializado en </w:t>
      </w:r>
      <w:r w:rsidRPr="004B41D6">
        <w:rPr>
          <w:rFonts w:ascii="Helvetica" w:hAnsi="Helvetica"/>
          <w:b/>
          <w:sz w:val="21"/>
          <w:szCs w:val="21"/>
          <w:lang w:val="es-ES"/>
        </w:rPr>
        <w:t>pagos directos</w:t>
      </w:r>
      <w:r w:rsidRPr="004E29AF">
        <w:rPr>
          <w:rFonts w:ascii="Helvetica" w:hAnsi="Helvetica"/>
          <w:bCs/>
          <w:sz w:val="21"/>
          <w:szCs w:val="21"/>
          <w:lang w:val="es-ES"/>
        </w:rPr>
        <w:t xml:space="preserve"> a las explotaciones con la posibilidad de ser orientados a diversos objetivos (targets) (primer pilar de la PAC); y </w:t>
      </w:r>
    </w:p>
    <w:p w14:paraId="3D55F358" w14:textId="77777777" w:rsidR="004E29AF" w:rsidRDefault="004E29AF" w:rsidP="00150FE3">
      <w:pPr>
        <w:pStyle w:val="NormalWeb"/>
        <w:shd w:val="clear" w:color="auto" w:fill="FFFFFF"/>
        <w:spacing w:before="0" w:beforeAutospacing="0"/>
        <w:rPr>
          <w:rFonts w:ascii="Helvetica" w:hAnsi="Helvetica"/>
          <w:bCs/>
          <w:sz w:val="21"/>
          <w:szCs w:val="21"/>
          <w:lang w:val="es-ES"/>
        </w:rPr>
      </w:pPr>
      <w:r w:rsidRPr="004E29AF">
        <w:rPr>
          <w:rFonts w:ascii="Helvetica" w:hAnsi="Helvetica"/>
          <w:bCs/>
          <w:sz w:val="21"/>
          <w:szCs w:val="21"/>
          <w:lang w:val="es-ES"/>
        </w:rPr>
        <w:t xml:space="preserve">2) </w:t>
      </w:r>
      <w:r w:rsidRPr="004B41D6">
        <w:rPr>
          <w:rFonts w:ascii="Helvetica" w:hAnsi="Helvetica"/>
          <w:b/>
          <w:sz w:val="21"/>
          <w:szCs w:val="21"/>
          <w:lang w:val="es-ES"/>
        </w:rPr>
        <w:t>variopintas medidas en favor del desarrollo agrorural</w:t>
      </w:r>
      <w:r w:rsidRPr="004E29AF">
        <w:rPr>
          <w:rFonts w:ascii="Helvetica" w:hAnsi="Helvetica"/>
          <w:bCs/>
          <w:sz w:val="21"/>
          <w:szCs w:val="21"/>
          <w:lang w:val="es-ES"/>
        </w:rPr>
        <w:t xml:space="preserve"> (segundo pilar de la PAC). La secuencia de cambios fue la siguiente: </w:t>
      </w:r>
    </w:p>
    <w:p w14:paraId="3872C28C" w14:textId="76BFB10A" w:rsidR="004E29AF" w:rsidRDefault="004E29AF" w:rsidP="004E29AF">
      <w:pPr>
        <w:pStyle w:val="NormalWeb"/>
        <w:shd w:val="clear" w:color="auto" w:fill="FFFFFF"/>
        <w:spacing w:before="0" w:beforeAutospacing="0"/>
        <w:ind w:firstLine="720"/>
        <w:rPr>
          <w:rFonts w:ascii="Helvetica" w:hAnsi="Helvetica"/>
          <w:bCs/>
          <w:sz w:val="21"/>
          <w:szCs w:val="21"/>
          <w:lang w:val="es-ES"/>
        </w:rPr>
      </w:pPr>
      <w:r w:rsidRPr="004E29AF">
        <w:rPr>
          <w:rFonts w:ascii="Helvetica" w:hAnsi="Helvetica"/>
          <w:bCs/>
          <w:sz w:val="21"/>
          <w:szCs w:val="21"/>
          <w:lang w:val="es-ES"/>
        </w:rPr>
        <w:t>1) con la reforma de 1992 (</w:t>
      </w:r>
      <w:r w:rsidR="00724A9D">
        <w:rPr>
          <w:rFonts w:ascii="Helvetica" w:hAnsi="Helvetica"/>
          <w:bCs/>
          <w:sz w:val="21"/>
          <w:szCs w:val="21"/>
          <w:lang w:val="es-ES"/>
        </w:rPr>
        <w:t>M</w:t>
      </w:r>
      <w:r w:rsidRPr="004E29AF">
        <w:rPr>
          <w:rFonts w:ascii="Helvetica" w:hAnsi="Helvetica"/>
          <w:bCs/>
          <w:sz w:val="21"/>
          <w:szCs w:val="21"/>
          <w:lang w:val="es-ES"/>
        </w:rPr>
        <w:t>c</w:t>
      </w:r>
      <w:r w:rsidR="00724A9D">
        <w:rPr>
          <w:rFonts w:ascii="Helvetica" w:hAnsi="Helvetica"/>
          <w:bCs/>
          <w:sz w:val="21"/>
          <w:szCs w:val="21"/>
          <w:lang w:val="es-ES"/>
        </w:rPr>
        <w:t>S</w:t>
      </w:r>
      <w:r w:rsidRPr="004E29AF">
        <w:rPr>
          <w:rFonts w:ascii="Helvetica" w:hAnsi="Helvetica"/>
          <w:bCs/>
          <w:sz w:val="21"/>
          <w:szCs w:val="21"/>
          <w:lang w:val="es-ES"/>
        </w:rPr>
        <w:t xml:space="preserve">harry) y la Agenda 2020 se redujeron los precios de intervención al tiempo que aumentaban los importes de las ayudas sectoriales del primer pilar; </w:t>
      </w:r>
    </w:p>
    <w:p w14:paraId="451B7C40" w14:textId="5DDCD6BA" w:rsidR="004E29AF" w:rsidRDefault="004E29AF" w:rsidP="004E29AF">
      <w:pPr>
        <w:pStyle w:val="NormalWeb"/>
        <w:shd w:val="clear" w:color="auto" w:fill="FFFFFF"/>
        <w:spacing w:before="0" w:beforeAutospacing="0"/>
        <w:ind w:firstLine="720"/>
        <w:rPr>
          <w:rFonts w:ascii="Helvetica" w:hAnsi="Helvetica"/>
          <w:bCs/>
          <w:sz w:val="21"/>
          <w:szCs w:val="21"/>
          <w:lang w:val="es-ES"/>
        </w:rPr>
      </w:pPr>
      <w:r w:rsidRPr="004E29AF">
        <w:rPr>
          <w:rFonts w:ascii="Helvetica" w:hAnsi="Helvetica"/>
          <w:bCs/>
          <w:sz w:val="21"/>
          <w:szCs w:val="21"/>
          <w:lang w:val="es-ES"/>
        </w:rPr>
        <w:lastRenderedPageBreak/>
        <w:t>2) con la reforma de 2003 (</w:t>
      </w:r>
      <w:r w:rsidR="00724A9D">
        <w:rPr>
          <w:rFonts w:ascii="Helvetica" w:hAnsi="Helvetica"/>
          <w:bCs/>
          <w:sz w:val="21"/>
          <w:szCs w:val="21"/>
          <w:lang w:val="es-ES"/>
        </w:rPr>
        <w:t>F</w:t>
      </w:r>
      <w:r w:rsidRPr="004E29AF">
        <w:rPr>
          <w:rFonts w:ascii="Helvetica" w:hAnsi="Helvetica"/>
          <w:bCs/>
          <w:sz w:val="21"/>
          <w:szCs w:val="21"/>
          <w:lang w:val="es-ES"/>
        </w:rPr>
        <w:t xml:space="preserve">ischler) y el «chequeo médico» de 2009 se desacoplaron prácticamente todas las ayudas respecto a la producción en beneficio de un pago </w:t>
      </w:r>
      <w:r w:rsidR="00724A9D" w:rsidRPr="004E29AF">
        <w:rPr>
          <w:rFonts w:ascii="Helvetica" w:hAnsi="Helvetica"/>
          <w:bCs/>
          <w:sz w:val="21"/>
          <w:szCs w:val="21"/>
          <w:lang w:val="es-ES"/>
        </w:rPr>
        <w:t>genérico</w:t>
      </w:r>
      <w:r w:rsidRPr="004E29AF">
        <w:rPr>
          <w:rFonts w:ascii="Helvetica" w:hAnsi="Helvetica"/>
          <w:bCs/>
          <w:sz w:val="21"/>
          <w:szCs w:val="21"/>
          <w:lang w:val="es-ES"/>
        </w:rPr>
        <w:t xml:space="preserve"> a la renta para cada explotación calculado según el número de hectáreas; y </w:t>
      </w:r>
    </w:p>
    <w:p w14:paraId="48311A78" w14:textId="77777777" w:rsidR="004B41D6" w:rsidRDefault="004E29AF" w:rsidP="004E29AF">
      <w:pPr>
        <w:pStyle w:val="NormalWeb"/>
        <w:shd w:val="clear" w:color="auto" w:fill="FFFFFF"/>
        <w:spacing w:before="0" w:beforeAutospacing="0"/>
        <w:ind w:firstLine="720"/>
        <w:rPr>
          <w:rFonts w:ascii="Helvetica" w:hAnsi="Helvetica"/>
          <w:b/>
          <w:sz w:val="21"/>
          <w:szCs w:val="21"/>
          <w:lang w:val="es-ES"/>
        </w:rPr>
      </w:pPr>
      <w:r w:rsidRPr="004E29AF">
        <w:rPr>
          <w:rFonts w:ascii="Helvetica" w:hAnsi="Helvetica"/>
          <w:bCs/>
          <w:sz w:val="21"/>
          <w:szCs w:val="21"/>
          <w:lang w:val="es-ES"/>
        </w:rPr>
        <w:t>3) la</w:t>
      </w:r>
      <w:r>
        <w:rPr>
          <w:rFonts w:ascii="Helvetica" w:hAnsi="Helvetica"/>
          <w:bCs/>
          <w:sz w:val="21"/>
          <w:szCs w:val="21"/>
          <w:lang w:val="es-ES"/>
        </w:rPr>
        <w:t xml:space="preserve"> </w:t>
      </w:r>
      <w:r w:rsidRPr="004E29AF">
        <w:rPr>
          <w:rFonts w:ascii="Helvetica" w:hAnsi="Helvetica"/>
          <w:bCs/>
          <w:sz w:val="21"/>
          <w:szCs w:val="21"/>
          <w:lang w:val="es-ES"/>
        </w:rPr>
        <w:t xml:space="preserve">reforma de 2013 (Ciolos) concluyó el proceso y </w:t>
      </w:r>
      <w:r w:rsidRPr="004B41D6">
        <w:rPr>
          <w:rFonts w:ascii="Helvetica" w:hAnsi="Helvetica"/>
          <w:b/>
          <w:sz w:val="21"/>
          <w:szCs w:val="21"/>
          <w:lang w:val="es-ES"/>
        </w:rPr>
        <w:t xml:space="preserve">consagró la multifuncionalidad mediante un sistema de pagos directos por obetivos específicos con cinco estratos (acumulables): </w:t>
      </w:r>
    </w:p>
    <w:p w14:paraId="23E9A6EF" w14:textId="77777777" w:rsidR="004B41D6" w:rsidRPr="004B41D6" w:rsidRDefault="004E29AF" w:rsidP="004B41D6">
      <w:pPr>
        <w:pStyle w:val="NormalWeb"/>
        <w:numPr>
          <w:ilvl w:val="0"/>
          <w:numId w:val="9"/>
        </w:numPr>
        <w:shd w:val="clear" w:color="auto" w:fill="FFFFFF"/>
        <w:spacing w:before="0" w:beforeAutospacing="0"/>
        <w:rPr>
          <w:rFonts w:ascii="Helvetica" w:hAnsi="Helvetica"/>
          <w:bCs/>
          <w:sz w:val="21"/>
          <w:szCs w:val="21"/>
          <w:lang w:val="es-ES"/>
        </w:rPr>
      </w:pPr>
      <w:r w:rsidRPr="004B41D6">
        <w:rPr>
          <w:rFonts w:ascii="Helvetica" w:hAnsi="Helvetica"/>
          <w:b/>
          <w:sz w:val="21"/>
          <w:szCs w:val="21"/>
          <w:lang w:val="es-ES"/>
        </w:rPr>
        <w:t xml:space="preserve">pagos «básicos» a la renta, </w:t>
      </w:r>
    </w:p>
    <w:p w14:paraId="3CBBD55A" w14:textId="77777777" w:rsidR="004B41D6" w:rsidRPr="004B41D6" w:rsidRDefault="004E29AF" w:rsidP="004B41D6">
      <w:pPr>
        <w:pStyle w:val="NormalWeb"/>
        <w:numPr>
          <w:ilvl w:val="0"/>
          <w:numId w:val="9"/>
        </w:numPr>
        <w:shd w:val="clear" w:color="auto" w:fill="FFFFFF"/>
        <w:spacing w:before="0" w:beforeAutospacing="0"/>
        <w:rPr>
          <w:rFonts w:ascii="Helvetica" w:hAnsi="Helvetica"/>
          <w:bCs/>
          <w:sz w:val="21"/>
          <w:szCs w:val="21"/>
          <w:lang w:val="es-ES"/>
        </w:rPr>
      </w:pPr>
      <w:r w:rsidRPr="004B41D6">
        <w:rPr>
          <w:rFonts w:ascii="Helvetica" w:hAnsi="Helvetica"/>
          <w:b/>
          <w:sz w:val="21"/>
          <w:szCs w:val="21"/>
          <w:lang w:val="es-ES"/>
        </w:rPr>
        <w:t xml:space="preserve">«verdes», </w:t>
      </w:r>
    </w:p>
    <w:p w14:paraId="200CF8A8" w14:textId="77777777" w:rsidR="004B41D6" w:rsidRPr="004B41D6" w:rsidRDefault="004E29AF" w:rsidP="004B41D6">
      <w:pPr>
        <w:pStyle w:val="NormalWeb"/>
        <w:numPr>
          <w:ilvl w:val="0"/>
          <w:numId w:val="9"/>
        </w:numPr>
        <w:shd w:val="clear" w:color="auto" w:fill="FFFFFF"/>
        <w:spacing w:before="0" w:beforeAutospacing="0"/>
        <w:rPr>
          <w:rFonts w:ascii="Helvetica" w:hAnsi="Helvetica"/>
          <w:bCs/>
          <w:sz w:val="21"/>
          <w:szCs w:val="21"/>
          <w:lang w:val="es-ES"/>
        </w:rPr>
      </w:pPr>
      <w:r w:rsidRPr="004B41D6">
        <w:rPr>
          <w:rFonts w:ascii="Helvetica" w:hAnsi="Helvetica"/>
          <w:b/>
          <w:sz w:val="21"/>
          <w:szCs w:val="21"/>
          <w:lang w:val="es-ES"/>
        </w:rPr>
        <w:t xml:space="preserve">a jóvenes agricultores, </w:t>
      </w:r>
    </w:p>
    <w:p w14:paraId="5CCB2080" w14:textId="77777777" w:rsidR="004B41D6" w:rsidRPr="004B41D6" w:rsidRDefault="004E29AF" w:rsidP="004B41D6">
      <w:pPr>
        <w:pStyle w:val="NormalWeb"/>
        <w:numPr>
          <w:ilvl w:val="0"/>
          <w:numId w:val="9"/>
        </w:numPr>
        <w:shd w:val="clear" w:color="auto" w:fill="FFFFFF"/>
        <w:spacing w:before="0" w:beforeAutospacing="0"/>
        <w:rPr>
          <w:rFonts w:ascii="Helvetica" w:hAnsi="Helvetica"/>
          <w:bCs/>
          <w:sz w:val="21"/>
          <w:szCs w:val="21"/>
          <w:lang w:val="es-ES"/>
        </w:rPr>
      </w:pPr>
      <w:r w:rsidRPr="004B41D6">
        <w:rPr>
          <w:rFonts w:ascii="Helvetica" w:hAnsi="Helvetica"/>
          <w:b/>
          <w:sz w:val="21"/>
          <w:szCs w:val="21"/>
          <w:lang w:val="es-ES"/>
        </w:rPr>
        <w:t xml:space="preserve">redistributivos, </w:t>
      </w:r>
    </w:p>
    <w:p w14:paraId="6AF74D08" w14:textId="77777777" w:rsidR="004B41D6" w:rsidRPr="004B41D6" w:rsidRDefault="004E29AF" w:rsidP="004B41D6">
      <w:pPr>
        <w:pStyle w:val="NormalWeb"/>
        <w:numPr>
          <w:ilvl w:val="0"/>
          <w:numId w:val="9"/>
        </w:numPr>
        <w:shd w:val="clear" w:color="auto" w:fill="FFFFFF"/>
        <w:spacing w:before="0" w:beforeAutospacing="0"/>
        <w:rPr>
          <w:rFonts w:ascii="Helvetica" w:hAnsi="Helvetica"/>
          <w:bCs/>
          <w:sz w:val="21"/>
          <w:szCs w:val="21"/>
          <w:lang w:val="es-ES"/>
        </w:rPr>
      </w:pPr>
      <w:r w:rsidRPr="004B41D6">
        <w:rPr>
          <w:rFonts w:ascii="Helvetica" w:hAnsi="Helvetica"/>
          <w:b/>
          <w:sz w:val="21"/>
          <w:szCs w:val="21"/>
          <w:lang w:val="es-ES"/>
        </w:rPr>
        <w:t xml:space="preserve">a zonas con hándicaps naturales, y </w:t>
      </w:r>
    </w:p>
    <w:p w14:paraId="6B27101F" w14:textId="77AAB539" w:rsidR="004E29AF" w:rsidRDefault="004E29AF" w:rsidP="004B41D6">
      <w:pPr>
        <w:pStyle w:val="NormalWeb"/>
        <w:numPr>
          <w:ilvl w:val="0"/>
          <w:numId w:val="9"/>
        </w:numPr>
        <w:shd w:val="clear" w:color="auto" w:fill="FFFFFF"/>
        <w:spacing w:before="0" w:beforeAutospacing="0"/>
        <w:rPr>
          <w:rFonts w:ascii="Helvetica" w:hAnsi="Helvetica"/>
          <w:bCs/>
          <w:sz w:val="21"/>
          <w:szCs w:val="21"/>
          <w:lang w:val="es-ES"/>
        </w:rPr>
      </w:pPr>
      <w:r w:rsidRPr="004B41D6">
        <w:rPr>
          <w:rFonts w:ascii="Helvetica" w:hAnsi="Helvetica"/>
          <w:b/>
          <w:sz w:val="21"/>
          <w:szCs w:val="21"/>
          <w:lang w:val="es-ES"/>
        </w:rPr>
        <w:t>en favor de producciones sensibles.</w:t>
      </w:r>
      <w:r w:rsidRPr="004E29AF">
        <w:rPr>
          <w:rFonts w:ascii="Helvetica" w:hAnsi="Helvetica"/>
          <w:bCs/>
          <w:sz w:val="21"/>
          <w:szCs w:val="21"/>
          <w:lang w:val="es-ES"/>
        </w:rPr>
        <w:t xml:space="preserve"> </w:t>
      </w:r>
    </w:p>
    <w:p w14:paraId="37B7CD6C" w14:textId="77777777" w:rsidR="004E29AF" w:rsidRDefault="004E29AF" w:rsidP="004E29AF">
      <w:pPr>
        <w:pStyle w:val="NormalWeb"/>
        <w:shd w:val="clear" w:color="auto" w:fill="FFFFFF"/>
        <w:spacing w:before="0" w:beforeAutospacing="0"/>
        <w:rPr>
          <w:rFonts w:ascii="Helvetica" w:hAnsi="Helvetica"/>
          <w:bCs/>
          <w:sz w:val="21"/>
          <w:szCs w:val="21"/>
          <w:lang w:val="es-ES"/>
        </w:rPr>
      </w:pPr>
      <w:r w:rsidRPr="004E29AF">
        <w:rPr>
          <w:rFonts w:ascii="Helvetica" w:hAnsi="Helvetica"/>
          <w:b/>
          <w:sz w:val="21"/>
          <w:szCs w:val="21"/>
          <w:lang w:val="es-ES"/>
        </w:rPr>
        <w:t>2.</w:t>
      </w:r>
      <w:r w:rsidRPr="004E29AF">
        <w:rPr>
          <w:rFonts w:ascii="Helvetica" w:hAnsi="Helvetica"/>
          <w:bCs/>
          <w:sz w:val="21"/>
          <w:szCs w:val="21"/>
          <w:lang w:val="es-ES"/>
        </w:rPr>
        <w:t xml:space="preserve"> </w:t>
      </w:r>
      <w:r w:rsidRPr="004E29AF">
        <w:rPr>
          <w:rFonts w:ascii="Helvetica" w:hAnsi="Helvetica"/>
          <w:b/>
          <w:sz w:val="21"/>
          <w:szCs w:val="21"/>
          <w:lang w:val="es-ES"/>
        </w:rPr>
        <w:t>El segundo pilar estructurante de la P</w:t>
      </w:r>
      <w:r w:rsidRPr="004E29AF">
        <w:rPr>
          <w:rFonts w:ascii="Helvetica" w:hAnsi="Helvetica"/>
          <w:b/>
          <w:sz w:val="21"/>
          <w:szCs w:val="21"/>
          <w:lang w:val="es-ES"/>
        </w:rPr>
        <w:t>AC</w:t>
      </w:r>
      <w:r w:rsidRPr="004E29AF">
        <w:rPr>
          <w:rFonts w:ascii="Helvetica" w:hAnsi="Helvetica"/>
          <w:b/>
          <w:sz w:val="21"/>
          <w:szCs w:val="21"/>
          <w:lang w:val="es-ES"/>
        </w:rPr>
        <w:t xml:space="preserve"> fue el lanzamiento del multilateralismo agrocomercial</w:t>
      </w:r>
      <w:r w:rsidRPr="004E29AF">
        <w:rPr>
          <w:rFonts w:ascii="Helvetica" w:hAnsi="Helvetica"/>
          <w:bCs/>
          <w:sz w:val="21"/>
          <w:szCs w:val="21"/>
          <w:lang w:val="es-ES"/>
        </w:rPr>
        <w:t xml:space="preserve">. </w:t>
      </w:r>
    </w:p>
    <w:p w14:paraId="3E4EFD7E" w14:textId="7C268EA2" w:rsidR="004E29AF" w:rsidRDefault="004E29AF" w:rsidP="004E29AF">
      <w:pPr>
        <w:pStyle w:val="NormalWeb"/>
        <w:shd w:val="clear" w:color="auto" w:fill="FFFFFF"/>
        <w:spacing w:before="0" w:beforeAutospacing="0"/>
        <w:rPr>
          <w:rFonts w:ascii="Helvetica" w:hAnsi="Helvetica"/>
          <w:bCs/>
          <w:sz w:val="21"/>
          <w:szCs w:val="21"/>
          <w:lang w:val="es-ES"/>
        </w:rPr>
      </w:pPr>
      <w:r w:rsidRPr="004E29AF">
        <w:rPr>
          <w:rFonts w:ascii="Helvetica" w:hAnsi="Helvetica"/>
          <w:bCs/>
          <w:sz w:val="21"/>
          <w:szCs w:val="21"/>
          <w:lang w:val="es-ES"/>
        </w:rPr>
        <w:t>No es casualidad que el salto a la PAC de las ayudas directas tuviera lugar a inicios de los años noventa, en la estela de la «hiperglobalización» que siguió al colapso del bloque soviético (Rodrik, 2012; Subramanian y Kessler, 2013). Un proceso que se caracterizó por una exuberante expansión del comercio mundial gracias a la apertura de los mercados de las antiguas economías socialistas, la caída de los costes de la energía y las comunicaciones, la revolución de los contenedores, una masiva deslocalización industrial hacia las economías emergentes, largas cadenas logísticas, y la optimización de las e</w:t>
      </w:r>
      <w:r>
        <w:rPr>
          <w:rFonts w:ascii="Helvetica" w:hAnsi="Helvetica"/>
          <w:bCs/>
          <w:sz w:val="21"/>
          <w:szCs w:val="21"/>
          <w:lang w:val="es-ES"/>
        </w:rPr>
        <w:t>x</w:t>
      </w:r>
      <w:r w:rsidRPr="004E29AF">
        <w:rPr>
          <w:rFonts w:ascii="Helvetica" w:hAnsi="Helvetica"/>
          <w:bCs/>
          <w:sz w:val="21"/>
          <w:szCs w:val="21"/>
          <w:lang w:val="es-ES"/>
        </w:rPr>
        <w:t xml:space="preserve">istencias. </w:t>
      </w:r>
      <w:r>
        <w:rPr>
          <w:rFonts w:ascii="Helvetica" w:hAnsi="Helvetica"/>
          <w:bCs/>
          <w:sz w:val="21"/>
          <w:szCs w:val="21"/>
          <w:lang w:val="es-ES"/>
        </w:rPr>
        <w:t xml:space="preserve">Y </w:t>
      </w:r>
      <w:r w:rsidRPr="004E29AF">
        <w:rPr>
          <w:rFonts w:ascii="Helvetica" w:hAnsi="Helvetica"/>
          <w:bCs/>
          <w:sz w:val="21"/>
          <w:szCs w:val="21"/>
          <w:lang w:val="es-ES"/>
        </w:rPr>
        <w:t xml:space="preserve">con la hiperglobalización nació la </w:t>
      </w:r>
      <w:r w:rsidRPr="004E29AF">
        <w:rPr>
          <w:rFonts w:ascii="Helvetica" w:hAnsi="Helvetica"/>
          <w:b/>
          <w:sz w:val="21"/>
          <w:szCs w:val="21"/>
          <w:lang w:val="es-ES"/>
        </w:rPr>
        <w:t xml:space="preserve">Organización Mundial del Comercio </w:t>
      </w:r>
      <w:r w:rsidRPr="004E29AF">
        <w:rPr>
          <w:rFonts w:ascii="Helvetica" w:hAnsi="Helvetica"/>
          <w:b/>
          <w:sz w:val="21"/>
          <w:szCs w:val="21"/>
          <w:lang w:val="es-ES"/>
        </w:rPr>
        <w:t>O</w:t>
      </w:r>
      <w:r w:rsidRPr="004E29AF">
        <w:rPr>
          <w:rFonts w:ascii="Helvetica" w:hAnsi="Helvetica"/>
          <w:b/>
          <w:sz w:val="21"/>
          <w:szCs w:val="21"/>
          <w:lang w:val="es-ES"/>
        </w:rPr>
        <w:t>MC</w:t>
      </w:r>
      <w:r w:rsidRPr="004E29AF">
        <w:rPr>
          <w:rFonts w:ascii="Helvetica" w:hAnsi="Helvetica"/>
          <w:bCs/>
          <w:sz w:val="21"/>
          <w:szCs w:val="21"/>
          <w:lang w:val="es-ES"/>
        </w:rPr>
        <w:t xml:space="preserve"> a fin de encuadrar las políticas agrarias y domeñar sus posibles distorsiones al libre comercio. Bajo su paraguas, en </w:t>
      </w:r>
      <w:r w:rsidRPr="004B41D6">
        <w:rPr>
          <w:rFonts w:ascii="Helvetica" w:hAnsi="Helvetica"/>
          <w:b/>
          <w:sz w:val="21"/>
          <w:szCs w:val="21"/>
          <w:lang w:val="es-ES"/>
        </w:rPr>
        <w:t>199</w:t>
      </w:r>
      <w:r w:rsidRPr="004B41D6">
        <w:rPr>
          <w:rFonts w:ascii="Helvetica" w:hAnsi="Helvetica"/>
          <w:b/>
          <w:sz w:val="21"/>
          <w:szCs w:val="21"/>
          <w:lang w:val="es-ES"/>
        </w:rPr>
        <w:t>5</w:t>
      </w:r>
      <w:r w:rsidRPr="004B41D6">
        <w:rPr>
          <w:rFonts w:ascii="Helvetica" w:hAnsi="Helvetica"/>
          <w:b/>
          <w:sz w:val="21"/>
          <w:szCs w:val="21"/>
          <w:lang w:val="es-ES"/>
        </w:rPr>
        <w:t xml:space="preserve"> entró en vigor el Acuerdo sobre la Agricultura (AA)</w:t>
      </w:r>
      <w:r w:rsidRPr="004E29AF">
        <w:rPr>
          <w:rFonts w:ascii="Helvetica" w:hAnsi="Helvetica"/>
          <w:bCs/>
          <w:sz w:val="21"/>
          <w:szCs w:val="21"/>
          <w:lang w:val="es-ES"/>
        </w:rPr>
        <w:t xml:space="preserve"> que disciplinó las modalidades y niveles permisibles de apoyo público y protección arancelaria. </w:t>
      </w:r>
      <w:r w:rsidRPr="004B41D6">
        <w:rPr>
          <w:rFonts w:ascii="Helvetica" w:hAnsi="Helvetica"/>
          <w:b/>
          <w:sz w:val="21"/>
          <w:szCs w:val="21"/>
          <w:lang w:val="es-ES"/>
        </w:rPr>
        <w:t>La primera gran reforma de la PAC de 1992 de hecho se esbozó en paralelo a las negociaciones del AA de 1986 a 1994</w:t>
      </w:r>
      <w:r w:rsidRPr="004E29AF">
        <w:rPr>
          <w:rFonts w:ascii="Helvetica" w:hAnsi="Helvetica"/>
          <w:bCs/>
          <w:sz w:val="21"/>
          <w:szCs w:val="21"/>
          <w:lang w:val="es-ES"/>
        </w:rPr>
        <w:t xml:space="preserve"> (Ronda Uruguay) y su principio de desacoplamiento de las ayudas respecto a la producción se tornó el hilo conductor del proceso de reformas de la P</w:t>
      </w:r>
      <w:r>
        <w:rPr>
          <w:rFonts w:ascii="Helvetica" w:hAnsi="Helvetica"/>
          <w:bCs/>
          <w:sz w:val="21"/>
          <w:szCs w:val="21"/>
          <w:lang w:val="es-ES"/>
        </w:rPr>
        <w:t>AC</w:t>
      </w:r>
      <w:r w:rsidRPr="004E29AF">
        <w:rPr>
          <w:rFonts w:ascii="Helvetica" w:hAnsi="Helvetica"/>
          <w:bCs/>
          <w:sz w:val="21"/>
          <w:szCs w:val="21"/>
          <w:lang w:val="es-ES"/>
        </w:rPr>
        <w:t xml:space="preserve">. </w:t>
      </w:r>
    </w:p>
    <w:p w14:paraId="5FA3E29C" w14:textId="0FAEC1D7" w:rsidR="004E29AF" w:rsidRDefault="004E29AF" w:rsidP="004E29AF">
      <w:pPr>
        <w:pStyle w:val="NormalWeb"/>
        <w:shd w:val="clear" w:color="auto" w:fill="FFFFFF"/>
        <w:spacing w:before="0" w:beforeAutospacing="0"/>
        <w:rPr>
          <w:rFonts w:ascii="Helvetica" w:hAnsi="Helvetica"/>
          <w:bCs/>
          <w:sz w:val="21"/>
          <w:szCs w:val="21"/>
          <w:lang w:val="es-ES"/>
        </w:rPr>
      </w:pPr>
      <w:r w:rsidRPr="004E29AF">
        <w:rPr>
          <w:rFonts w:ascii="Helvetica" w:hAnsi="Helvetica"/>
          <w:b/>
          <w:sz w:val="21"/>
          <w:szCs w:val="21"/>
          <w:lang w:val="es-ES"/>
        </w:rPr>
        <w:t>3. El sistema de pagos directos por objetivos de 2003 reforzó su carácter multifuncional mediante el régimen de «condicionalidad» que supeditaba su cobro al cumplimiento de una serie de normas ajenas a la PAC</w:t>
      </w:r>
      <w:r w:rsidRPr="004E29AF">
        <w:rPr>
          <w:rFonts w:ascii="Helvetica" w:hAnsi="Helvetica"/>
          <w:bCs/>
          <w:sz w:val="21"/>
          <w:szCs w:val="21"/>
          <w:lang w:val="es-ES"/>
        </w:rPr>
        <w:t xml:space="preserve"> («requisitos legales de gestión» - RLG) en materia de salud pública, medio ambiente, sanidad animal </w:t>
      </w:r>
      <w:r>
        <w:rPr>
          <w:rFonts w:ascii="Helvetica" w:hAnsi="Helvetica"/>
          <w:bCs/>
          <w:sz w:val="21"/>
          <w:szCs w:val="21"/>
          <w:lang w:val="es-ES"/>
        </w:rPr>
        <w:t>y</w:t>
      </w:r>
      <w:r w:rsidRPr="004E29AF">
        <w:rPr>
          <w:rFonts w:ascii="Helvetica" w:hAnsi="Helvetica"/>
          <w:bCs/>
          <w:sz w:val="21"/>
          <w:szCs w:val="21"/>
          <w:lang w:val="es-ES"/>
        </w:rPr>
        <w:t xml:space="preserve"> fitosanidad. </w:t>
      </w:r>
    </w:p>
    <w:p w14:paraId="15F4F84C" w14:textId="6B30AF1F" w:rsidR="004E29AF" w:rsidRDefault="004E29AF" w:rsidP="004E29AF">
      <w:pPr>
        <w:pStyle w:val="NormalWeb"/>
        <w:shd w:val="clear" w:color="auto" w:fill="FFFFFF"/>
        <w:spacing w:before="0" w:beforeAutospacing="0"/>
        <w:rPr>
          <w:rFonts w:ascii="Helvetica" w:hAnsi="Helvetica"/>
          <w:bCs/>
          <w:sz w:val="21"/>
          <w:szCs w:val="21"/>
          <w:lang w:val="es-ES"/>
        </w:rPr>
      </w:pPr>
      <w:r w:rsidRPr="004E29AF">
        <w:rPr>
          <w:rFonts w:ascii="Helvetica" w:hAnsi="Helvetica"/>
          <w:bCs/>
          <w:sz w:val="21"/>
          <w:szCs w:val="21"/>
          <w:lang w:val="es-ES"/>
        </w:rPr>
        <w:t xml:space="preserve">El grueso de estas normas provenía del formidable proceso de armonización de legislaciones a que dio pie el </w:t>
      </w:r>
      <w:r w:rsidRPr="006215AF">
        <w:rPr>
          <w:rFonts w:ascii="Helvetica" w:hAnsi="Helvetica"/>
          <w:b/>
          <w:sz w:val="21"/>
          <w:szCs w:val="21"/>
          <w:lang w:val="es-ES"/>
        </w:rPr>
        <w:t>tercer pilar estructurante de la P</w:t>
      </w:r>
      <w:r w:rsidRPr="006215AF">
        <w:rPr>
          <w:rFonts w:ascii="Helvetica" w:hAnsi="Helvetica"/>
          <w:b/>
          <w:sz w:val="21"/>
          <w:szCs w:val="21"/>
          <w:lang w:val="es-ES"/>
        </w:rPr>
        <w:t>AC</w:t>
      </w:r>
      <w:r w:rsidRPr="006215AF">
        <w:rPr>
          <w:rFonts w:ascii="Helvetica" w:hAnsi="Helvetica"/>
          <w:b/>
          <w:sz w:val="21"/>
          <w:szCs w:val="21"/>
          <w:lang w:val="es-ES"/>
        </w:rPr>
        <w:t>, la ya comentada conversión del mercado común agrícola en el mercado interior agroalimentario con vistas a crear un espacio económico libre de obstáculos a partir de 1992</w:t>
      </w:r>
      <w:r w:rsidRPr="004E29AF">
        <w:rPr>
          <w:rFonts w:ascii="Helvetica" w:hAnsi="Helvetica"/>
          <w:bCs/>
          <w:sz w:val="21"/>
          <w:szCs w:val="21"/>
          <w:lang w:val="es-ES"/>
        </w:rPr>
        <w:t>. Con la armonización, el Derecho Alimentario Europeo obtuvo su blasón como vertebrador jurídico privilegiado de la cadena de valor</w:t>
      </w:r>
      <w:r w:rsidR="00907959">
        <w:rPr>
          <w:rStyle w:val="Refdenotaalpie"/>
          <w:rFonts w:ascii="Helvetica" w:hAnsi="Helvetica"/>
          <w:bCs/>
          <w:sz w:val="21"/>
          <w:szCs w:val="21"/>
          <w:lang w:val="es-ES"/>
        </w:rPr>
        <w:footnoteReference w:id="9"/>
      </w:r>
      <w:r w:rsidR="00907959">
        <w:rPr>
          <w:rFonts w:ascii="Helvetica" w:hAnsi="Helvetica"/>
          <w:bCs/>
          <w:sz w:val="21"/>
          <w:szCs w:val="21"/>
          <w:lang w:val="es-ES"/>
        </w:rPr>
        <w:t xml:space="preserve"> (…)</w:t>
      </w:r>
    </w:p>
    <w:p w14:paraId="45BB27AE" w14:textId="31261BDF" w:rsidR="00907959" w:rsidRDefault="00907959" w:rsidP="00907959">
      <w:pPr>
        <w:pStyle w:val="Ttulo1"/>
        <w:rPr>
          <w:lang w:val="es-ES"/>
        </w:rPr>
      </w:pPr>
      <w:r w:rsidRPr="00907959">
        <w:rPr>
          <w:lang w:val="es-ES"/>
        </w:rPr>
        <w:lastRenderedPageBreak/>
        <w:t>V. DE LA PAC MULTIFUNCIONAL A UNA ESTRATEGIA ALIMENTARIA MULTINIVEL</w:t>
      </w:r>
    </w:p>
    <w:p w14:paraId="1E07F9C7" w14:textId="330610E0" w:rsidR="00907959" w:rsidRDefault="00907959" w:rsidP="00907959">
      <w:pPr>
        <w:rPr>
          <w:lang w:val="es-ES"/>
        </w:rPr>
      </w:pPr>
    </w:p>
    <w:p w14:paraId="4F94D56B" w14:textId="449A245F" w:rsidR="00907959" w:rsidRDefault="00907959" w:rsidP="00907959">
      <w:pPr>
        <w:rPr>
          <w:lang w:val="es-ES"/>
        </w:rPr>
      </w:pPr>
      <w:r w:rsidRPr="00907959">
        <w:rPr>
          <w:lang w:val="es-ES"/>
        </w:rPr>
        <w:t xml:space="preserve">En vísperas de la reforma de la PAC de 2021 las sinergias entre las diferentes políticas comunes involucradas en la regulación de la cadena alimentaria, incluida la </w:t>
      </w:r>
      <w:proofErr w:type="gramStart"/>
      <w:r w:rsidRPr="00907959">
        <w:rPr>
          <w:lang w:val="es-ES"/>
        </w:rPr>
        <w:t>P ,</w:t>
      </w:r>
      <w:proofErr w:type="gramEnd"/>
      <w:r w:rsidRPr="00907959">
        <w:rPr>
          <w:lang w:val="es-ES"/>
        </w:rPr>
        <w:t xml:space="preserve"> estaban lejos de ser evidentes. Por el contrario, abundaban los ejemplos de incoherencias, en sus objetivos y en sus resultados. A modo de ejemplo, la caída de los precios agrarios resultante de las reformas de la PAC no fue del todo ajena al desarrollo de una alimentación calórica y de bajo coste (Guyomard et al., 2018) y de la consiguiente la explosión de la obesidad </w:t>
      </w:r>
      <w:r w:rsidR="006215AF">
        <w:rPr>
          <w:lang w:val="es-ES"/>
        </w:rPr>
        <w:t>E</w:t>
      </w:r>
      <w:r w:rsidRPr="00907959">
        <w:rPr>
          <w:lang w:val="es-ES"/>
        </w:rPr>
        <w:t xml:space="preserve">urostat, 2023b, p. 8 que tras el </w:t>
      </w:r>
      <w:proofErr w:type="gramStart"/>
      <w:r w:rsidRPr="00907959">
        <w:rPr>
          <w:lang w:val="es-ES"/>
        </w:rPr>
        <w:t>C</w:t>
      </w:r>
      <w:r w:rsidR="006215AF">
        <w:rPr>
          <w:lang w:val="es-ES"/>
        </w:rPr>
        <w:t>O</w:t>
      </w:r>
      <w:r w:rsidRPr="00907959">
        <w:rPr>
          <w:lang w:val="es-ES"/>
        </w:rPr>
        <w:t>V</w:t>
      </w:r>
      <w:r w:rsidR="006215AF">
        <w:rPr>
          <w:lang w:val="es-ES"/>
        </w:rPr>
        <w:t xml:space="preserve">I  </w:t>
      </w:r>
      <w:r w:rsidRPr="00907959">
        <w:rPr>
          <w:lang w:val="es-ES"/>
        </w:rPr>
        <w:t>D</w:t>
      </w:r>
      <w:proofErr w:type="gramEnd"/>
      <w:r w:rsidRPr="00907959">
        <w:rPr>
          <w:lang w:val="es-ES"/>
        </w:rPr>
        <w:t xml:space="preserve"> adquirió carácter endémico (WHO, 2022). </w:t>
      </w:r>
    </w:p>
    <w:p w14:paraId="0AC22317" w14:textId="422471D4" w:rsidR="00907959" w:rsidRDefault="00907959" w:rsidP="00907959">
      <w:pPr>
        <w:rPr>
          <w:lang w:val="es-ES"/>
        </w:rPr>
      </w:pPr>
      <w:r w:rsidRPr="00907959">
        <w:rPr>
          <w:color w:val="0070C0"/>
          <w:lang w:val="es-ES"/>
        </w:rPr>
        <w:t>Otro destacable campo de con</w:t>
      </w:r>
      <w:r w:rsidRPr="00907959">
        <w:rPr>
          <w:color w:val="0070C0"/>
          <w:lang w:val="es-ES"/>
        </w:rPr>
        <w:t>fl</w:t>
      </w:r>
      <w:r w:rsidRPr="00907959">
        <w:rPr>
          <w:color w:val="0070C0"/>
          <w:lang w:val="es-ES"/>
        </w:rPr>
        <w:t xml:space="preserve">icto lo constituye la creciente demanda de tierras para biomateriales </w:t>
      </w:r>
      <w:r w:rsidRPr="006215AF">
        <w:rPr>
          <w:color w:val="ED7D31" w:themeColor="accent2"/>
          <w:lang w:val="es-ES"/>
        </w:rPr>
        <w:t>y</w:t>
      </w:r>
      <w:r w:rsidRPr="006215AF">
        <w:rPr>
          <w:color w:val="ED7D31" w:themeColor="accent2"/>
          <w:lang w:val="es-ES"/>
        </w:rPr>
        <w:t xml:space="preserve"> </w:t>
      </w:r>
      <w:r w:rsidRPr="006215AF">
        <w:rPr>
          <w:color w:val="ED7D31" w:themeColor="accent2"/>
          <w:lang w:val="es-ES"/>
        </w:rPr>
        <w:t xml:space="preserve">biocombustibles </w:t>
      </w:r>
      <w:r w:rsidRPr="00907959">
        <w:rPr>
          <w:lang w:val="es-ES"/>
        </w:rPr>
        <w:t>que, de persistir los incentivos públicos vigentes, podría duplicar el uso de biomasa en el horizonte 20</w:t>
      </w:r>
      <w:r>
        <w:rPr>
          <w:lang w:val="es-ES"/>
        </w:rPr>
        <w:t>50 (B</w:t>
      </w:r>
      <w:r w:rsidRPr="00907959">
        <w:rPr>
          <w:lang w:val="es-ES"/>
        </w:rPr>
        <w:t>irk Rasmussen et al., 2023; Material Economics, 2021) y a acelerar la ya constante pérdida de sumideros de carbono en Europa</w:t>
      </w:r>
      <w:r>
        <w:rPr>
          <w:lang w:val="es-ES"/>
        </w:rPr>
        <w:t xml:space="preserve"> (…)</w:t>
      </w:r>
    </w:p>
    <w:p w14:paraId="296537CF" w14:textId="5CC17B17" w:rsidR="00DE4BCC" w:rsidRDefault="00907959" w:rsidP="00907959">
      <w:pPr>
        <w:rPr>
          <w:lang w:val="es-ES"/>
        </w:rPr>
      </w:pPr>
      <w:r w:rsidRPr="00907959">
        <w:rPr>
          <w:lang w:val="es-ES"/>
        </w:rPr>
        <w:t xml:space="preserve">Lo que propugnaban a fin de cuentas estos estudios de cuño alimentario o ambiental era profundizar en la multifuncionalización en curso de la PAC, si bien que priorizando el sostén a los bienes y servicios públicos </w:t>
      </w:r>
      <w:r w:rsidRPr="00907959">
        <w:rPr>
          <w:color w:val="0070C0"/>
          <w:lang w:val="es-ES"/>
        </w:rPr>
        <w:t xml:space="preserve">a expensas del predominante apoyo a las rentas de los agricultores </w:t>
      </w:r>
      <w:r w:rsidRPr="00907959">
        <w:rPr>
          <w:lang w:val="es-ES"/>
        </w:rPr>
        <w:t xml:space="preserve">(por lo demás, muy poco equitativo) (CE, 2023b). </w:t>
      </w:r>
      <w:r w:rsidRPr="00DE4BCC">
        <w:rPr>
          <w:b/>
          <w:bCs/>
          <w:color w:val="0070C0"/>
          <w:lang w:val="es-ES"/>
        </w:rPr>
        <w:t>Lo que a la postre comportaba entrar en liza por el presupuesto asignado a los pagos directos por la P</w:t>
      </w:r>
      <w:r w:rsidRPr="00DE4BCC">
        <w:rPr>
          <w:b/>
          <w:bCs/>
          <w:color w:val="0070C0"/>
          <w:lang w:val="es-ES"/>
        </w:rPr>
        <w:t>AC</w:t>
      </w:r>
      <w:r w:rsidR="00DE4BCC">
        <w:rPr>
          <w:b/>
          <w:bCs/>
          <w:color w:val="0070C0"/>
          <w:lang w:val="es-ES"/>
        </w:rPr>
        <w:t xml:space="preserve"> 2.0. </w:t>
      </w:r>
      <w:r w:rsidR="00DE4BCC" w:rsidRPr="00DE4BCC">
        <w:rPr>
          <w:b/>
          <w:bCs/>
          <w:color w:val="0070C0"/>
          <w:lang w:val="es-ES"/>
        </w:rPr>
        <w:t>equivalente a más de una cuarta parte del marco financiero plurianual 2014-2020 para los 27</w:t>
      </w:r>
      <w:r w:rsidR="00DE4BCC" w:rsidRPr="00DE4BCC">
        <w:rPr>
          <w:lang w:val="es-ES"/>
        </w:rPr>
        <w:t xml:space="preserve"> (Massot, 2021). No obstante, proseguir con </w:t>
      </w:r>
      <w:r w:rsidR="00DE4BCC" w:rsidRPr="00724A9D">
        <w:rPr>
          <w:color w:val="5B9BD5" w:themeColor="accent1"/>
          <w:lang w:val="es-ES"/>
        </w:rPr>
        <w:t>la multifuncionalización de la PAC no atajaba su pérdida de competencias de regulación de la cadena.</w:t>
      </w:r>
      <w:r w:rsidR="00DE4BCC" w:rsidRPr="00DE4BCC">
        <w:rPr>
          <w:lang w:val="es-ES"/>
        </w:rPr>
        <w:t xml:space="preserve"> Tampoco garantizaba un enfoque coherente del fenómeno alimentario por el conjunto de políticas comunes.  no daba un marco de referencia a las cada vez más numerosas iniciativas nacionales en este ámbito, tan dispersas o más que a nivel supranacional, entre ministerios y entre niveles administrativos subestatales (regiones y municipios). No es por azar que algunas de las mejores propuestas sobre el futuro de la política alimentaria en Europa provinieran de Consejos científico-consultivos de algunos Estados (WRR, 2016; </w:t>
      </w:r>
      <w:r w:rsidR="006215AF">
        <w:rPr>
          <w:lang w:val="es-ES"/>
        </w:rPr>
        <w:t>BE</w:t>
      </w:r>
      <w:r w:rsidR="00DE4BCC" w:rsidRPr="00DE4BCC">
        <w:rPr>
          <w:lang w:val="es-ES"/>
        </w:rPr>
        <w:t>M</w:t>
      </w:r>
      <w:r w:rsidR="006215AF">
        <w:rPr>
          <w:lang w:val="es-ES"/>
        </w:rPr>
        <w:t xml:space="preserve">EL-WBAE 2018 Y </w:t>
      </w:r>
      <w:proofErr w:type="gramStart"/>
      <w:r w:rsidR="006215AF">
        <w:rPr>
          <w:lang w:val="es-ES"/>
        </w:rPr>
        <w:t>2020;</w:t>
      </w:r>
      <w:r w:rsidR="00DE4BCC" w:rsidRPr="00DE4BCC">
        <w:rPr>
          <w:lang w:val="es-ES"/>
        </w:rPr>
        <w:t xml:space="preserve">  ZKL</w:t>
      </w:r>
      <w:proofErr w:type="gramEnd"/>
      <w:r w:rsidR="00DE4BCC" w:rsidRPr="00DE4BCC">
        <w:rPr>
          <w:lang w:val="es-ES"/>
        </w:rPr>
        <w:t xml:space="preserve">, 2021). </w:t>
      </w:r>
      <w:proofErr w:type="gramStart"/>
      <w:r w:rsidR="00DE4BCC" w:rsidRPr="00DE4BCC">
        <w:rPr>
          <w:lang w:val="es-ES"/>
        </w:rPr>
        <w:t>A ,</w:t>
      </w:r>
      <w:proofErr w:type="gramEnd"/>
      <w:r w:rsidR="00DE4BCC" w:rsidRPr="00DE4BCC">
        <w:rPr>
          <w:lang w:val="es-ES"/>
        </w:rPr>
        <w:t xml:space="preserve"> 2018  2020</w:t>
      </w:r>
      <w:r w:rsidR="00DE4BCC">
        <w:rPr>
          <w:lang w:val="es-ES"/>
        </w:rPr>
        <w:t>; KLZ, 2021)</w:t>
      </w:r>
      <w:r w:rsidR="006215AF">
        <w:rPr>
          <w:lang w:val="es-ES"/>
        </w:rPr>
        <w:t>.</w:t>
      </w:r>
      <w:r w:rsidR="00DE4BCC">
        <w:rPr>
          <w:lang w:val="es-ES"/>
        </w:rPr>
        <w:t xml:space="preserve"> (…)</w:t>
      </w:r>
    </w:p>
    <w:p w14:paraId="5DC542E7" w14:textId="4CE2219A" w:rsidR="00DE4BCC" w:rsidRPr="00907959" w:rsidRDefault="00DE4BCC" w:rsidP="00DE4BCC">
      <w:pPr>
        <w:pStyle w:val="Ttulo1"/>
        <w:rPr>
          <w:lang w:val="es-ES"/>
        </w:rPr>
      </w:pPr>
      <w:r w:rsidRPr="00DE4BCC">
        <w:rPr>
          <w:lang w:val="es-ES"/>
        </w:rPr>
        <w:t>VI. LA PAC 3.0: UNA NUEVA GOBERNANZA PARA UNA NUEVA ESTRATEGIA</w:t>
      </w:r>
    </w:p>
    <w:p w14:paraId="532B9F0C" w14:textId="0E802728" w:rsidR="00150FE3" w:rsidRDefault="00150FE3" w:rsidP="00150FE3">
      <w:pPr>
        <w:rPr>
          <w:lang w:val="es-ES"/>
        </w:rPr>
      </w:pPr>
    </w:p>
    <w:p w14:paraId="6B3B4AF3" w14:textId="77777777" w:rsidR="006215AF" w:rsidRDefault="00724A9D" w:rsidP="00150FE3">
      <w:pPr>
        <w:rPr>
          <w:lang w:val="es-ES"/>
        </w:rPr>
      </w:pPr>
      <w:r>
        <w:rPr>
          <w:lang w:val="es-ES"/>
        </w:rPr>
        <w:t>T</w:t>
      </w:r>
      <w:r w:rsidR="00DE4BCC" w:rsidRPr="00DE4BCC">
        <w:rPr>
          <w:lang w:val="es-ES"/>
        </w:rPr>
        <w:t xml:space="preserve">ras tres años y medio de negociaciones, en diciembre de 2021 se adoptó la que sería la </w:t>
      </w:r>
      <w:r w:rsidR="00DE4BCC" w:rsidRPr="00DE4BCC">
        <w:rPr>
          <w:b/>
          <w:bCs/>
          <w:color w:val="5B9BD5" w:themeColor="accent1"/>
          <w:lang w:val="es-ES"/>
        </w:rPr>
        <w:t>P</w:t>
      </w:r>
      <w:r w:rsidR="00DE4BCC" w:rsidRPr="00DE4BCC">
        <w:rPr>
          <w:b/>
          <w:bCs/>
          <w:color w:val="5B9BD5" w:themeColor="accent1"/>
          <w:lang w:val="es-ES"/>
        </w:rPr>
        <w:t>AC 3.0</w:t>
      </w:r>
      <w:r w:rsidR="00DE4BCC" w:rsidRPr="00DE4BCC">
        <w:rPr>
          <w:b/>
          <w:bCs/>
          <w:color w:val="5B9BD5" w:themeColor="accent1"/>
          <w:lang w:val="es-ES"/>
        </w:rPr>
        <w:t>.</w:t>
      </w:r>
      <w:r w:rsidR="00DE4BCC" w:rsidRPr="00DE4BCC">
        <w:rPr>
          <w:color w:val="5B9BD5" w:themeColor="accent1"/>
          <w:lang w:val="es-ES"/>
        </w:rPr>
        <w:t xml:space="preserve"> </w:t>
      </w:r>
      <w:r w:rsidR="00DE4BCC" w:rsidRPr="00DE4BCC">
        <w:rPr>
          <w:lang w:val="es-ES"/>
        </w:rPr>
        <w:t xml:space="preserve">Se complementó así el acuerdo interinstitucional alcanzado un año antes sobre el marco financiero plurianual MFP 2021-2027 el plan de recuperación económica que provocó la crisis </w:t>
      </w:r>
      <w:r w:rsidR="00DE4BCC" w:rsidRPr="00DE4BCC">
        <w:rPr>
          <w:lang w:val="es-ES"/>
        </w:rPr>
        <w:lastRenderedPageBreak/>
        <w:t xml:space="preserve">pandémica («Plan ‘Próxima Generación UE’» - PGUE). Es de reseñar que las propuestas de reforma de la PAC y del MFP para el período 2021-2027 habían sido confeccionadas por la Comisión Juncker y presentadas a mediados de 2018.  </w:t>
      </w:r>
      <w:r w:rsidR="00DE4BCC">
        <w:rPr>
          <w:lang w:val="es-ES"/>
        </w:rPr>
        <w:t xml:space="preserve">De hecho, </w:t>
      </w:r>
      <w:r w:rsidR="00DE4BCC" w:rsidRPr="00DE4BCC">
        <w:rPr>
          <w:lang w:val="es-ES"/>
        </w:rPr>
        <w:t xml:space="preserve">el acuerdo de los colegisladores que concluyó ambos procesos se dio en la siguiente legislatura con la Comisión von der Leyen que desde sus primeros pasos quiso mostrar una mayor ambición política que la precedente y puso como epicentro de su mandato el lanzamiento de un </w:t>
      </w:r>
      <w:r w:rsidR="00DE4BCC" w:rsidRPr="00DE4BCC">
        <w:rPr>
          <w:b/>
          <w:bCs/>
          <w:color w:val="00B050"/>
          <w:lang w:val="es-ES"/>
        </w:rPr>
        <w:t>Pacto Verde Europeo</w:t>
      </w:r>
      <w:r w:rsidR="00DE4BCC" w:rsidRPr="00DE4BCC">
        <w:rPr>
          <w:color w:val="00B050"/>
          <w:lang w:val="es-ES"/>
        </w:rPr>
        <w:t xml:space="preserve"> </w:t>
      </w:r>
      <w:r w:rsidR="00DE4BCC" w:rsidRPr="00DE4BCC">
        <w:rPr>
          <w:lang w:val="es-ES"/>
        </w:rPr>
        <w:t>(CE, 2019). Este consistía en un paquete legislativo intersectorial en favor de una transición ecológica con vistas a lograr la neutralidad climática en 20</w:t>
      </w:r>
      <w:r w:rsidR="006215AF">
        <w:rPr>
          <w:lang w:val="es-ES"/>
        </w:rPr>
        <w:t>5</w:t>
      </w:r>
      <w:r w:rsidR="00DE4BCC" w:rsidRPr="00DE4BCC">
        <w:rPr>
          <w:lang w:val="es-ES"/>
        </w:rPr>
        <w:t xml:space="preserve">0 e incluía una estrategia agroambiental y alimentaria orientada a: </w:t>
      </w:r>
    </w:p>
    <w:p w14:paraId="7DA7CBBE" w14:textId="77777777" w:rsidR="006215AF" w:rsidRDefault="00DE4BCC" w:rsidP="00150FE3">
      <w:pPr>
        <w:rPr>
          <w:lang w:val="es-ES"/>
        </w:rPr>
      </w:pPr>
      <w:r w:rsidRPr="00DE4BCC">
        <w:rPr>
          <w:lang w:val="es-ES"/>
        </w:rPr>
        <w:t xml:space="preserve">1) garantizar la seguridad alimentaria combatiendo el cambio climático y la pérdida de recursos y biodiversidad; </w:t>
      </w:r>
    </w:p>
    <w:p w14:paraId="1E698A07" w14:textId="77777777" w:rsidR="006215AF" w:rsidRDefault="00DE4BCC" w:rsidP="00150FE3">
      <w:pPr>
        <w:rPr>
          <w:lang w:val="es-ES"/>
        </w:rPr>
      </w:pPr>
      <w:r w:rsidRPr="00DE4BCC">
        <w:rPr>
          <w:lang w:val="es-ES"/>
        </w:rPr>
        <w:t xml:space="preserve">2) reducir la huella ambiental y climática del conjunto de la cadena alimentaria; </w:t>
      </w:r>
    </w:p>
    <w:p w14:paraId="3AD5D0CB" w14:textId="77777777" w:rsidR="006215AF" w:rsidRDefault="00DE4BCC" w:rsidP="00150FE3">
      <w:pPr>
        <w:rPr>
          <w:lang w:val="es-ES"/>
        </w:rPr>
      </w:pPr>
      <w:r w:rsidRPr="00DE4BCC">
        <w:rPr>
          <w:lang w:val="es-ES"/>
        </w:rPr>
        <w:t xml:space="preserve">3) reforzar la resiliencia del sistema agroalimentario europeo; y </w:t>
      </w:r>
    </w:p>
    <w:p w14:paraId="1F0BB563" w14:textId="77777777" w:rsidR="006215AF" w:rsidRDefault="00DE4BCC" w:rsidP="00150FE3">
      <w:pPr>
        <w:rPr>
          <w:lang w:val="es-ES"/>
        </w:rPr>
      </w:pPr>
      <w:r w:rsidRPr="00DE4BCC">
        <w:rPr>
          <w:lang w:val="es-ES"/>
        </w:rPr>
        <w:t xml:space="preserve">4) liderar a nivel global la transición de la agroalimentación hacia una competitividad sostenible (Massot, 2021). </w:t>
      </w:r>
    </w:p>
    <w:p w14:paraId="656ADE94" w14:textId="16A581CE" w:rsidR="00DE4BCC" w:rsidRDefault="00DE4BCC" w:rsidP="00150FE3">
      <w:pPr>
        <w:rPr>
          <w:color w:val="0070C0"/>
          <w:lang w:val="es-ES"/>
        </w:rPr>
      </w:pPr>
      <w:r w:rsidRPr="00DE4BCC">
        <w:rPr>
          <w:lang w:val="es-ES"/>
        </w:rPr>
        <w:t>Hubiera sido lógico que la Comisión von der Leyen adaptase a su agenda política las propuestas de la PAC y del marco financiero plurianual de 2018. De hecho, en mayo de 2020 propuso la modificación del MFP, pero lo hizo impelida por la aparición del C</w:t>
      </w:r>
      <w:r w:rsidR="006215AF">
        <w:rPr>
          <w:lang w:val="es-ES"/>
        </w:rPr>
        <w:t>O</w:t>
      </w:r>
      <w:r w:rsidRPr="00DE4BCC">
        <w:rPr>
          <w:lang w:val="es-ES"/>
        </w:rPr>
        <w:t>V</w:t>
      </w:r>
      <w:r w:rsidR="006215AF">
        <w:rPr>
          <w:lang w:val="es-ES"/>
        </w:rPr>
        <w:t>I</w:t>
      </w:r>
      <w:r w:rsidRPr="00DE4BCC">
        <w:rPr>
          <w:lang w:val="es-ES"/>
        </w:rPr>
        <w:t xml:space="preserve">D. Por el contrario, las propuestas legislativas agrarias de 2018 no fueron revisadas, en buena medida por el retraso que acumulaban las negociaciones entre el Consejo y el Parlamento Europeo. </w:t>
      </w:r>
      <w:r w:rsidRPr="00DE4BCC">
        <w:rPr>
          <w:color w:val="0070C0"/>
          <w:lang w:val="es-ES"/>
        </w:rPr>
        <w:t>En resumidas cuentas, la P</w:t>
      </w:r>
      <w:r w:rsidRPr="00DE4BCC">
        <w:rPr>
          <w:color w:val="0070C0"/>
          <w:lang w:val="es-ES"/>
        </w:rPr>
        <w:t>AC</w:t>
      </w:r>
      <w:r w:rsidRPr="00DE4BCC">
        <w:rPr>
          <w:color w:val="0070C0"/>
          <w:lang w:val="es-ES"/>
        </w:rPr>
        <w:t xml:space="preserve"> no fue mucho más lejos de lo que la Comisión Juncker había previsto en cuanto a sus objetivos y mecanismos y se limitó a acrecentar formalmente su multifuncionalidad de acuerdo con los nueve objetivos ya citados del </w:t>
      </w:r>
      <w:r w:rsidRPr="00DE4BCC">
        <w:rPr>
          <w:color w:val="0070C0"/>
          <w:lang w:val="es-ES"/>
        </w:rPr>
        <w:t>r</w:t>
      </w:r>
      <w:r w:rsidRPr="00DE4BCC">
        <w:rPr>
          <w:color w:val="0070C0"/>
          <w:lang w:val="es-ES"/>
        </w:rPr>
        <w:t>eglamento 2021</w:t>
      </w:r>
      <w:r w:rsidRPr="00DE4BCC">
        <w:rPr>
          <w:color w:val="0070C0"/>
          <w:lang w:val="es-ES"/>
        </w:rPr>
        <w:t>/</w:t>
      </w:r>
      <w:r w:rsidRPr="00DE4BCC">
        <w:rPr>
          <w:color w:val="0070C0"/>
          <w:lang w:val="es-ES"/>
        </w:rPr>
        <w:t>211</w:t>
      </w:r>
      <w:r w:rsidRPr="00DE4BCC">
        <w:rPr>
          <w:color w:val="0070C0"/>
          <w:lang w:val="es-ES"/>
        </w:rPr>
        <w:t>5</w:t>
      </w:r>
      <w:r>
        <w:rPr>
          <w:color w:val="0070C0"/>
          <w:lang w:val="es-ES"/>
        </w:rPr>
        <w:t>.</w:t>
      </w:r>
    </w:p>
    <w:p w14:paraId="509401A8" w14:textId="667166FE" w:rsidR="00724A9D" w:rsidRPr="00BC2CF9" w:rsidRDefault="00DE4BCC" w:rsidP="00150FE3">
      <w:pPr>
        <w:rPr>
          <w:lang w:val="es-ES"/>
        </w:rPr>
      </w:pPr>
      <w:r w:rsidRPr="00BC2CF9">
        <w:rPr>
          <w:lang w:val="es-ES"/>
        </w:rPr>
        <w:t>P</w:t>
      </w:r>
      <w:r w:rsidR="00724A9D" w:rsidRPr="00BC2CF9">
        <w:rPr>
          <w:lang w:val="es-ES"/>
        </w:rPr>
        <w:t>ero</w:t>
      </w:r>
      <w:r w:rsidRPr="00BC2CF9">
        <w:rPr>
          <w:lang w:val="es-ES"/>
        </w:rPr>
        <w:t xml:space="preserve"> se concretó en términos instrumentales básicamente en lo siguiente: </w:t>
      </w:r>
    </w:p>
    <w:p w14:paraId="68AB4774" w14:textId="303034ED" w:rsidR="00724A9D" w:rsidRDefault="00724A9D" w:rsidP="00150FE3">
      <w:pPr>
        <w:rPr>
          <w:color w:val="0070C0"/>
          <w:lang w:val="es-ES"/>
        </w:rPr>
      </w:pPr>
      <w:r>
        <w:rPr>
          <w:color w:val="0070C0"/>
          <w:lang w:val="es-ES"/>
        </w:rPr>
        <w:t>A</w:t>
      </w:r>
      <w:r w:rsidR="00DE4BCC" w:rsidRPr="00DE4BCC">
        <w:rPr>
          <w:color w:val="0070C0"/>
          <w:lang w:val="es-ES"/>
        </w:rPr>
        <w:t xml:space="preserve">. Una nueva estructura del apoyo directo del primer pilar, </w:t>
      </w:r>
      <w:r w:rsidR="00DE4BCC" w:rsidRPr="00BC2CF9">
        <w:rPr>
          <w:lang w:val="es-ES"/>
        </w:rPr>
        <w:t xml:space="preserve">con tres pagos obligatorios y dos facultativos para los Estados </w:t>
      </w:r>
      <w:r w:rsidR="00DE4BCC" w:rsidRPr="00DE4BCC">
        <w:rPr>
          <w:color w:val="0070C0"/>
          <w:lang w:val="es-ES"/>
        </w:rPr>
        <w:t xml:space="preserve">y porcentajes máximos de financiación sobre el total del presupuesto asignado a cada país: </w:t>
      </w:r>
    </w:p>
    <w:p w14:paraId="0765A5CD" w14:textId="77777777" w:rsidR="003131A4" w:rsidRDefault="00DE4BCC" w:rsidP="004B0948">
      <w:pPr>
        <w:pStyle w:val="Prrafodelista"/>
        <w:numPr>
          <w:ilvl w:val="0"/>
          <w:numId w:val="8"/>
        </w:numPr>
        <w:rPr>
          <w:color w:val="0070C0"/>
          <w:lang w:val="es-ES"/>
        </w:rPr>
      </w:pPr>
      <w:r w:rsidRPr="003131A4">
        <w:rPr>
          <w:color w:val="0070C0"/>
          <w:lang w:val="es-ES"/>
        </w:rPr>
        <w:t xml:space="preserve">el «pago básico» a la hectárea, con la función de apoyar a la renta agraria; </w:t>
      </w:r>
    </w:p>
    <w:p w14:paraId="5123CA74" w14:textId="77777777" w:rsidR="003131A4" w:rsidRPr="00BC2CF9" w:rsidRDefault="00DE4BCC" w:rsidP="00A66563">
      <w:pPr>
        <w:pStyle w:val="Prrafodelista"/>
        <w:numPr>
          <w:ilvl w:val="0"/>
          <w:numId w:val="8"/>
        </w:numPr>
        <w:rPr>
          <w:lang w:val="es-ES"/>
        </w:rPr>
      </w:pPr>
      <w:r w:rsidRPr="003131A4">
        <w:rPr>
          <w:color w:val="0070C0"/>
          <w:lang w:val="es-ES"/>
        </w:rPr>
        <w:t xml:space="preserve">los «regímenes ecológicos» (o </w:t>
      </w:r>
      <w:r w:rsidRPr="00BC2CF9">
        <w:rPr>
          <w:b/>
          <w:bCs/>
          <w:color w:val="0070C0"/>
          <w:lang w:val="es-ES"/>
        </w:rPr>
        <w:t>«ecoesquemas»</w:t>
      </w:r>
      <w:r w:rsidRPr="003131A4">
        <w:rPr>
          <w:color w:val="0070C0"/>
          <w:lang w:val="es-ES"/>
        </w:rPr>
        <w:t xml:space="preserve">), de fomento de prácticas </w:t>
      </w:r>
      <w:r w:rsidR="003131A4" w:rsidRPr="003131A4">
        <w:rPr>
          <w:color w:val="0070C0"/>
          <w:lang w:val="es-ES"/>
        </w:rPr>
        <w:t>benéficas</w:t>
      </w:r>
      <w:r w:rsidRPr="003131A4">
        <w:rPr>
          <w:color w:val="0070C0"/>
          <w:lang w:val="es-ES"/>
        </w:rPr>
        <w:t xml:space="preserve"> para el clima y el medio ambiente, </w:t>
      </w:r>
      <w:r w:rsidRPr="00BC2CF9">
        <w:rPr>
          <w:lang w:val="es-ES"/>
        </w:rPr>
        <w:t xml:space="preserve">en sustitución de los «pagos verdes»; </w:t>
      </w:r>
    </w:p>
    <w:p w14:paraId="3F86CE91" w14:textId="77777777" w:rsidR="003131A4" w:rsidRDefault="00DE4BCC" w:rsidP="00882DC6">
      <w:pPr>
        <w:pStyle w:val="Prrafodelista"/>
        <w:numPr>
          <w:ilvl w:val="0"/>
          <w:numId w:val="8"/>
        </w:numPr>
        <w:rPr>
          <w:color w:val="0070C0"/>
          <w:lang w:val="es-ES"/>
        </w:rPr>
      </w:pPr>
      <w:r w:rsidRPr="003131A4">
        <w:rPr>
          <w:color w:val="0070C0"/>
          <w:lang w:val="es-ES"/>
        </w:rPr>
        <w:t xml:space="preserve">el «pago redistributivo» </w:t>
      </w:r>
      <w:r w:rsidRPr="003131A4">
        <w:rPr>
          <w:lang w:val="es-ES"/>
        </w:rPr>
        <w:t>en favor de las primeras hectáreas de cada explotación</w:t>
      </w:r>
      <w:r w:rsidRPr="003131A4">
        <w:rPr>
          <w:color w:val="0070C0"/>
          <w:lang w:val="es-ES"/>
        </w:rPr>
        <w:t>;</w:t>
      </w:r>
    </w:p>
    <w:p w14:paraId="71BDB36F" w14:textId="77777777" w:rsidR="003131A4" w:rsidRDefault="00DE4BCC" w:rsidP="00AD50B0">
      <w:pPr>
        <w:pStyle w:val="Prrafodelista"/>
        <w:numPr>
          <w:ilvl w:val="0"/>
          <w:numId w:val="8"/>
        </w:numPr>
        <w:rPr>
          <w:color w:val="0070C0"/>
          <w:lang w:val="es-ES"/>
        </w:rPr>
      </w:pPr>
      <w:r w:rsidRPr="003131A4">
        <w:rPr>
          <w:color w:val="0070C0"/>
          <w:lang w:val="es-ES"/>
        </w:rPr>
        <w:t xml:space="preserve">los pagos a los «jóvenes agricultores»; y los </w:t>
      </w:r>
      <w:r w:rsidR="00724A9D" w:rsidRPr="003131A4">
        <w:rPr>
          <w:color w:val="0070C0"/>
          <w:lang w:val="es-ES"/>
        </w:rPr>
        <w:t>«</w:t>
      </w:r>
      <w:r w:rsidRPr="003131A4">
        <w:rPr>
          <w:color w:val="0070C0"/>
          <w:lang w:val="es-ES"/>
        </w:rPr>
        <w:t xml:space="preserve">pagos acoplados a la producción». </w:t>
      </w:r>
    </w:p>
    <w:p w14:paraId="2BA4D06B" w14:textId="711946CA" w:rsidR="00724A9D" w:rsidRPr="003131A4" w:rsidRDefault="00DE4BCC" w:rsidP="00AD50B0">
      <w:pPr>
        <w:pStyle w:val="Prrafodelista"/>
        <w:numPr>
          <w:ilvl w:val="0"/>
          <w:numId w:val="8"/>
        </w:numPr>
        <w:rPr>
          <w:color w:val="0070C0"/>
          <w:lang w:val="es-ES"/>
        </w:rPr>
      </w:pPr>
      <w:r w:rsidRPr="003131A4">
        <w:rPr>
          <w:color w:val="0070C0"/>
          <w:lang w:val="es-ES"/>
        </w:rPr>
        <w:t xml:space="preserve">Una «condicionalidad reforzada» </w:t>
      </w:r>
      <w:r w:rsidRPr="003131A4">
        <w:rPr>
          <w:lang w:val="es-ES"/>
        </w:rPr>
        <w:t xml:space="preserve">para el cobro tanto de los pagos directos como de las acciones de desarrollo rural fundada en: </w:t>
      </w:r>
    </w:p>
    <w:p w14:paraId="3FBC57D0" w14:textId="77777777" w:rsidR="003131A4" w:rsidRDefault="00DE4BCC" w:rsidP="00150FE3">
      <w:pPr>
        <w:rPr>
          <w:color w:val="0070C0"/>
          <w:lang w:val="es-ES"/>
        </w:rPr>
      </w:pPr>
      <w:r w:rsidRPr="00DE4BCC">
        <w:rPr>
          <w:color w:val="0070C0"/>
          <w:lang w:val="es-ES"/>
        </w:rPr>
        <w:t xml:space="preserve">a) nueve «buenas condiciones agrícolas y medioambientales» (BCAM), </w:t>
      </w:r>
      <w:r w:rsidRPr="003131A4">
        <w:rPr>
          <w:lang w:val="es-ES"/>
        </w:rPr>
        <w:t xml:space="preserve">ampliadas con nuevas prácticas de fertilización sostenible y de protección de humedales y turberas; </w:t>
      </w:r>
    </w:p>
    <w:p w14:paraId="01865185" w14:textId="77777777" w:rsidR="003131A4" w:rsidRDefault="00DE4BCC" w:rsidP="00150FE3">
      <w:pPr>
        <w:rPr>
          <w:color w:val="0070C0"/>
          <w:lang w:val="es-ES"/>
        </w:rPr>
      </w:pPr>
      <w:r w:rsidRPr="00DE4BCC">
        <w:rPr>
          <w:color w:val="0070C0"/>
          <w:lang w:val="es-ES"/>
        </w:rPr>
        <w:t xml:space="preserve">b) once «requisitos legales de gestión» (RLG) </w:t>
      </w:r>
      <w:r w:rsidRPr="003131A4">
        <w:rPr>
          <w:lang w:val="es-ES"/>
        </w:rPr>
        <w:t xml:space="preserve">que incluyeron nuevas normas como la Directiva 2009/128 sobre el uso sostenible de pesticidas y la Directiva-marco 2000/60 sobre el agua; y </w:t>
      </w:r>
    </w:p>
    <w:p w14:paraId="7DE7E112" w14:textId="5F9A5E66" w:rsidR="00DE4BCC" w:rsidRDefault="00DE4BCC" w:rsidP="003131A4">
      <w:pPr>
        <w:ind w:left="720" w:hanging="720"/>
        <w:rPr>
          <w:lang w:val="es-ES"/>
        </w:rPr>
      </w:pPr>
      <w:r w:rsidRPr="00DE4BCC">
        <w:rPr>
          <w:color w:val="0070C0"/>
          <w:lang w:val="es-ES"/>
        </w:rPr>
        <w:lastRenderedPageBreak/>
        <w:t xml:space="preserve">c) </w:t>
      </w:r>
      <w:r w:rsidRPr="003131A4">
        <w:rPr>
          <w:lang w:val="es-ES"/>
        </w:rPr>
        <w:t xml:space="preserve">la instauración, a instancias del Parlamento Europeo, de la </w:t>
      </w:r>
      <w:r w:rsidRPr="00DE4BCC">
        <w:rPr>
          <w:color w:val="0070C0"/>
          <w:lang w:val="es-ES"/>
        </w:rPr>
        <w:t xml:space="preserve">«condicionalidad social», </w:t>
      </w:r>
      <w:r w:rsidRPr="003131A4">
        <w:rPr>
          <w:lang w:val="es-ES"/>
        </w:rPr>
        <w:t>o respeto de las normas laborales de la UE para el cobro de las ayudas. En realidad, lo más trascendente de la reforma de la PAC de 2021 fue de carácter formal, el cambio de modelo de gobe</w:t>
      </w:r>
      <w:r w:rsidR="003131A4">
        <w:rPr>
          <w:lang w:val="es-ES"/>
        </w:rPr>
        <w:t xml:space="preserve">rnanza </w:t>
      </w:r>
      <w:r w:rsidR="003131A4" w:rsidRPr="003131A4">
        <w:rPr>
          <w:lang w:val="es-ES"/>
        </w:rPr>
        <w:t xml:space="preserve">que la Comisión Juncker priorizó sobre el </w:t>
      </w:r>
      <w:proofErr w:type="gramStart"/>
      <w:r w:rsidR="003131A4" w:rsidRPr="003131A4">
        <w:rPr>
          <w:lang w:val="es-ES"/>
        </w:rPr>
        <w:t>contenido</w:t>
      </w:r>
      <w:r w:rsidR="003131A4">
        <w:rPr>
          <w:lang w:val="es-ES"/>
        </w:rPr>
        <w:t>.(</w:t>
      </w:r>
      <w:proofErr w:type="gramEnd"/>
      <w:r w:rsidR="003131A4">
        <w:rPr>
          <w:lang w:val="es-ES"/>
        </w:rPr>
        <w:t>…)</w:t>
      </w:r>
    </w:p>
    <w:p w14:paraId="6BF77995" w14:textId="77777777" w:rsidR="003131A4" w:rsidRDefault="003131A4" w:rsidP="003131A4">
      <w:pPr>
        <w:ind w:left="720" w:hanging="720"/>
        <w:rPr>
          <w:lang w:val="es-ES"/>
        </w:rPr>
      </w:pPr>
      <w:r w:rsidRPr="003131A4">
        <w:rPr>
          <w:lang w:val="es-ES"/>
        </w:rPr>
        <w:t xml:space="preserve">Con este nuevo formato de gestión emergió una «PAC-marco y multinivel» (Massot, 2021 y 2022): 1. Una «PAC-marco» caracterizada por: </w:t>
      </w:r>
    </w:p>
    <w:p w14:paraId="72FC36CD" w14:textId="77777777" w:rsidR="003131A4" w:rsidRDefault="003131A4" w:rsidP="003131A4">
      <w:pPr>
        <w:ind w:left="720" w:firstLine="720"/>
        <w:rPr>
          <w:lang w:val="es-ES"/>
        </w:rPr>
      </w:pPr>
      <w:r w:rsidRPr="003131A4">
        <w:rPr>
          <w:lang w:val="es-ES"/>
        </w:rPr>
        <w:t xml:space="preserve">a) convertir la diversidad de estructuras en su eje de intervención; b) sustituir el «enfoque normativo de conformidad» por un </w:t>
      </w:r>
      <w:r w:rsidRPr="00BC2CF9">
        <w:rPr>
          <w:b/>
          <w:bCs/>
          <w:lang w:val="es-ES"/>
        </w:rPr>
        <w:t>«enfoque de resultados»;</w:t>
      </w:r>
      <w:r w:rsidRPr="003131A4">
        <w:rPr>
          <w:lang w:val="es-ES"/>
        </w:rPr>
        <w:t xml:space="preserve"> </w:t>
      </w:r>
    </w:p>
    <w:p w14:paraId="39B94526" w14:textId="77777777" w:rsidR="003131A4" w:rsidRDefault="003131A4" w:rsidP="003131A4">
      <w:pPr>
        <w:ind w:left="720" w:firstLine="720"/>
        <w:rPr>
          <w:lang w:val="es-ES"/>
        </w:rPr>
      </w:pPr>
      <w:r w:rsidRPr="003131A4">
        <w:rPr>
          <w:lang w:val="es-ES"/>
        </w:rPr>
        <w:t xml:space="preserve">c) extender la gestión compartida entre las autoridades comunitarias y nacionales bajo los </w:t>
      </w:r>
      <w:r w:rsidRPr="00BC2CF9">
        <w:rPr>
          <w:b/>
          <w:bCs/>
          <w:lang w:val="es-ES"/>
        </w:rPr>
        <w:t>principios de subsidiariedad y corresponsabilidad;</w:t>
      </w:r>
      <w:r w:rsidRPr="003131A4">
        <w:rPr>
          <w:lang w:val="es-ES"/>
        </w:rPr>
        <w:t xml:space="preserve"> </w:t>
      </w:r>
    </w:p>
    <w:p w14:paraId="46C6D94B" w14:textId="77777777" w:rsidR="003131A4" w:rsidRDefault="003131A4" w:rsidP="003131A4">
      <w:pPr>
        <w:ind w:left="720" w:firstLine="720"/>
        <w:rPr>
          <w:lang w:val="es-ES"/>
        </w:rPr>
      </w:pPr>
      <w:r w:rsidRPr="003131A4">
        <w:rPr>
          <w:lang w:val="es-ES"/>
        </w:rPr>
        <w:t xml:space="preserve">d) delimitar un nivel específico de decisión supranacional para establecer los objetivos con valor añadido europeo, sus indicadores de seguimiento, y los mecanismos a utilizar (a la carta) por los Estados; y </w:t>
      </w:r>
    </w:p>
    <w:p w14:paraId="151045D9" w14:textId="00FD7908" w:rsidR="003131A4" w:rsidRDefault="003131A4" w:rsidP="003131A4">
      <w:pPr>
        <w:ind w:left="720" w:firstLine="720"/>
        <w:rPr>
          <w:lang w:val="es-ES"/>
        </w:rPr>
      </w:pPr>
      <w:r w:rsidRPr="003131A4">
        <w:rPr>
          <w:lang w:val="es-ES"/>
        </w:rPr>
        <w:t xml:space="preserve">e) definir un nivel decisional interno mediante </w:t>
      </w:r>
      <w:r w:rsidRPr="00BC2CF9">
        <w:rPr>
          <w:b/>
          <w:bCs/>
          <w:lang w:val="es-ES"/>
        </w:rPr>
        <w:t>«planes estratégicos nacionales»</w:t>
      </w:r>
      <w:r w:rsidRPr="003131A4">
        <w:rPr>
          <w:lang w:val="es-ES"/>
        </w:rPr>
        <w:t xml:space="preserve"> plurianuales (</w:t>
      </w:r>
      <w:r w:rsidRPr="00BC2CF9">
        <w:rPr>
          <w:b/>
          <w:bCs/>
          <w:lang w:val="es-ES"/>
        </w:rPr>
        <w:t>PEN</w:t>
      </w:r>
      <w:r w:rsidRPr="003131A4">
        <w:rPr>
          <w:lang w:val="es-ES"/>
        </w:rPr>
        <w:t>) a fin de concretar los objetivos domésticos, el menú de intervenciones más adecuado para obtenerlos, y el formato de transposición y control de sus resultados.</w:t>
      </w:r>
    </w:p>
    <w:p w14:paraId="1718CF19" w14:textId="3355E48B" w:rsidR="00A06626" w:rsidRDefault="00A06626" w:rsidP="00A06626">
      <w:pPr>
        <w:jc w:val="both"/>
        <w:rPr>
          <w:lang w:val="es-ES"/>
        </w:rPr>
      </w:pPr>
      <w:r w:rsidRPr="00A06626">
        <w:rPr>
          <w:lang w:val="es-ES"/>
        </w:rPr>
        <w:t xml:space="preserve">2. Una </w:t>
      </w:r>
      <w:r w:rsidRPr="00BC2CF9">
        <w:rPr>
          <w:b/>
          <w:bCs/>
          <w:lang w:val="es-ES"/>
        </w:rPr>
        <w:t>«PAC multinivel»</w:t>
      </w:r>
      <w:r w:rsidRPr="00A06626">
        <w:rPr>
          <w:lang w:val="es-ES"/>
        </w:rPr>
        <w:t xml:space="preserve"> que formalizó dentro de la órbita decisional comunitaria una suerte de cogobernanza entre la DG AG</w:t>
      </w:r>
      <w:r>
        <w:rPr>
          <w:lang w:val="es-ES"/>
        </w:rPr>
        <w:t>RI</w:t>
      </w:r>
      <w:r w:rsidRPr="00A06626">
        <w:rPr>
          <w:lang w:val="es-ES"/>
        </w:rPr>
        <w:t xml:space="preserve"> </w:t>
      </w:r>
      <w:r>
        <w:rPr>
          <w:lang w:val="es-ES"/>
        </w:rPr>
        <w:t xml:space="preserve">y </w:t>
      </w:r>
      <w:r w:rsidRPr="00A06626">
        <w:rPr>
          <w:lang w:val="es-ES"/>
        </w:rPr>
        <w:t>otras Direcciones Generales de la Comisión con responsabilidades alimentarias sobre determinados objetivos de la PAC y la asignación de los fondos agrarios a destinar para su logro.</w:t>
      </w:r>
    </w:p>
    <w:p w14:paraId="1D3E2CF9" w14:textId="77777777" w:rsidR="00A06626" w:rsidRDefault="00A06626" w:rsidP="003131A4">
      <w:pPr>
        <w:ind w:left="720" w:hanging="720"/>
        <w:rPr>
          <w:lang w:val="es-ES"/>
        </w:rPr>
      </w:pPr>
      <w:r w:rsidRPr="00A06626">
        <w:rPr>
          <w:lang w:val="es-ES"/>
        </w:rPr>
        <w:t xml:space="preserve">Tomó cuerpo en </w:t>
      </w:r>
      <w:r w:rsidRPr="00BC2CF9">
        <w:rPr>
          <w:b/>
          <w:bCs/>
          <w:lang w:val="es-ES"/>
        </w:rPr>
        <w:t>tres ejes</w:t>
      </w:r>
      <w:r w:rsidRPr="00A06626">
        <w:rPr>
          <w:lang w:val="es-ES"/>
        </w:rPr>
        <w:t xml:space="preserve"> que impusieron </w:t>
      </w:r>
      <w:r w:rsidRPr="00BC2CF9">
        <w:rPr>
          <w:b/>
          <w:bCs/>
          <w:lang w:val="es-ES"/>
        </w:rPr>
        <w:t>«</w:t>
      </w:r>
      <w:r w:rsidRPr="00BC2CF9">
        <w:rPr>
          <w:b/>
          <w:bCs/>
          <w:lang w:val="es-ES"/>
        </w:rPr>
        <w:t>objetivos</w:t>
      </w:r>
      <w:r w:rsidRPr="00BC2CF9">
        <w:rPr>
          <w:b/>
          <w:bCs/>
          <w:lang w:val="es-ES"/>
        </w:rPr>
        <w:t xml:space="preserve"> cuanti</w:t>
      </w:r>
      <w:r w:rsidRPr="00BC2CF9">
        <w:rPr>
          <w:b/>
          <w:bCs/>
          <w:lang w:val="es-ES"/>
        </w:rPr>
        <w:t>fi</w:t>
      </w:r>
      <w:r w:rsidRPr="00BC2CF9">
        <w:rPr>
          <w:b/>
          <w:bCs/>
          <w:lang w:val="es-ES"/>
        </w:rPr>
        <w:t>cados»</w:t>
      </w:r>
      <w:r w:rsidRPr="00A06626">
        <w:rPr>
          <w:lang w:val="es-ES"/>
        </w:rPr>
        <w:t xml:space="preserve"> para el sector agrario: </w:t>
      </w:r>
    </w:p>
    <w:p w14:paraId="42443EC7" w14:textId="686246AC" w:rsidR="00A06626" w:rsidRDefault="00A06626" w:rsidP="003131A4">
      <w:pPr>
        <w:ind w:left="720" w:hanging="720"/>
        <w:rPr>
          <w:lang w:val="es-ES"/>
        </w:rPr>
      </w:pPr>
      <w:r w:rsidRPr="00A06626">
        <w:rPr>
          <w:lang w:val="es-ES"/>
        </w:rPr>
        <w:t xml:space="preserve">a) </w:t>
      </w:r>
      <w:r w:rsidRPr="00A06626">
        <w:rPr>
          <w:color w:val="00B0F0"/>
          <w:lang w:val="es-ES"/>
        </w:rPr>
        <w:t xml:space="preserve">El eje climático. </w:t>
      </w:r>
      <w:r w:rsidRPr="00A06626">
        <w:rPr>
          <w:lang w:val="es-ES"/>
        </w:rPr>
        <w:t>De acuerdo con la Ley Europea sobre el Clima y el Paquete «</w:t>
      </w:r>
      <w:r w:rsidRPr="00A06626">
        <w:rPr>
          <w:lang w:val="es-ES"/>
        </w:rPr>
        <w:t>Objetivo,</w:t>
      </w:r>
      <w:r w:rsidRPr="00A06626">
        <w:rPr>
          <w:lang w:val="es-ES"/>
        </w:rPr>
        <w:t xml:space="preserve"> en abril de 2023 se fijaron los esfuerzos de reducción de emisiones de G para cada Estado (Reglamento 202387. Complementariamente, el Reglamento (UE) 2023/839 cifró un objetivo para la agrosilvicultura, la captura de 310 Mt de CO2 antes de 2030. </w:t>
      </w:r>
    </w:p>
    <w:p w14:paraId="333A77C0" w14:textId="77777777" w:rsidR="00A06626" w:rsidRDefault="00A06626" w:rsidP="003131A4">
      <w:pPr>
        <w:ind w:left="720" w:hanging="720"/>
        <w:rPr>
          <w:lang w:val="es-ES"/>
        </w:rPr>
      </w:pPr>
      <w:r w:rsidRPr="00A06626">
        <w:rPr>
          <w:lang w:val="es-ES"/>
        </w:rPr>
        <w:t xml:space="preserve">b) </w:t>
      </w:r>
      <w:r w:rsidRPr="00A06626">
        <w:rPr>
          <w:color w:val="70AD47" w:themeColor="accent6"/>
          <w:lang w:val="es-ES"/>
        </w:rPr>
        <w:t>El eje de la biodiversidad</w:t>
      </w:r>
      <w:r w:rsidRPr="00A06626">
        <w:rPr>
          <w:lang w:val="es-ES"/>
        </w:rPr>
        <w:t xml:space="preserve">. La Estrategia «Biodiversidad en el Horizonte 2030» (CE, 2020a) impuso cuatro metas a la PAC: </w:t>
      </w:r>
    </w:p>
    <w:p w14:paraId="5020813D" w14:textId="77777777" w:rsidR="00A06626" w:rsidRPr="008B7CF7" w:rsidRDefault="00A06626" w:rsidP="00A06626">
      <w:pPr>
        <w:ind w:left="720" w:firstLine="720"/>
        <w:rPr>
          <w:color w:val="92D050"/>
          <w:lang w:val="es-ES"/>
        </w:rPr>
      </w:pPr>
      <w:r w:rsidRPr="00A06626">
        <w:rPr>
          <w:lang w:val="es-ES"/>
        </w:rPr>
        <w:t xml:space="preserve">1) destinar un 10 por 100 de la superficie agraria a </w:t>
      </w:r>
      <w:r w:rsidRPr="008B7CF7">
        <w:rPr>
          <w:color w:val="92D050"/>
          <w:lang w:val="es-ES"/>
        </w:rPr>
        <w:t xml:space="preserve">elementos de gran diversidad biológica </w:t>
      </w:r>
    </w:p>
    <w:p w14:paraId="71EEC10E" w14:textId="77777777" w:rsidR="00A06626" w:rsidRDefault="00A06626" w:rsidP="00A06626">
      <w:pPr>
        <w:ind w:left="720" w:firstLine="720"/>
        <w:rPr>
          <w:lang w:val="es-ES"/>
        </w:rPr>
      </w:pPr>
      <w:r w:rsidRPr="00A06626">
        <w:rPr>
          <w:lang w:val="es-ES"/>
        </w:rPr>
        <w:t>2</w:t>
      </w:r>
      <w:r>
        <w:rPr>
          <w:lang w:val="es-ES"/>
        </w:rPr>
        <w:t>)</w:t>
      </w:r>
      <w:r w:rsidRPr="00A06626">
        <w:rPr>
          <w:lang w:val="es-ES"/>
        </w:rPr>
        <w:t xml:space="preserve"> dedicar el 2 por 100 de las tierras agrarias a la </w:t>
      </w:r>
      <w:r w:rsidRPr="008B7CF7">
        <w:rPr>
          <w:color w:val="92D050"/>
          <w:lang w:val="es-ES"/>
        </w:rPr>
        <w:t>producción ecológica</w:t>
      </w:r>
      <w:r w:rsidRPr="00A06626">
        <w:rPr>
          <w:lang w:val="es-ES"/>
        </w:rPr>
        <w:t xml:space="preserve">; </w:t>
      </w:r>
    </w:p>
    <w:p w14:paraId="72F5031C" w14:textId="77777777" w:rsidR="00A06626" w:rsidRDefault="00A06626" w:rsidP="00A06626">
      <w:pPr>
        <w:ind w:left="720" w:firstLine="720"/>
        <w:rPr>
          <w:lang w:val="es-ES"/>
        </w:rPr>
      </w:pPr>
      <w:r w:rsidRPr="00A06626">
        <w:rPr>
          <w:lang w:val="es-ES"/>
        </w:rPr>
        <w:t xml:space="preserve">3) </w:t>
      </w:r>
      <w:r w:rsidRPr="008B7CF7">
        <w:rPr>
          <w:color w:val="92D050"/>
          <w:lang w:val="es-ES"/>
        </w:rPr>
        <w:t xml:space="preserve">plantar 3.000 millones de árboles </w:t>
      </w:r>
      <w:r w:rsidRPr="00A06626">
        <w:rPr>
          <w:lang w:val="es-ES"/>
        </w:rPr>
        <w:t xml:space="preserve">y </w:t>
      </w:r>
      <w:r w:rsidRPr="00BC2CF9">
        <w:rPr>
          <w:color w:val="70AD47" w:themeColor="accent6"/>
          <w:lang w:val="es-ES"/>
        </w:rPr>
        <w:t xml:space="preserve">restaurar el 30 por 100 </w:t>
      </w:r>
      <w:r w:rsidRPr="00A06626">
        <w:rPr>
          <w:lang w:val="es-ES"/>
        </w:rPr>
        <w:t>de los ecosistemas más degradados antes de 2030 para alcanzar el 100 por 100 en 20</w:t>
      </w:r>
      <w:r>
        <w:rPr>
          <w:lang w:val="es-ES"/>
        </w:rPr>
        <w:t>5</w:t>
      </w:r>
      <w:r w:rsidRPr="00A06626">
        <w:rPr>
          <w:lang w:val="es-ES"/>
        </w:rPr>
        <w:t>0</w:t>
      </w:r>
      <w:r>
        <w:rPr>
          <w:lang w:val="es-ES"/>
        </w:rPr>
        <w:t>; y</w:t>
      </w:r>
    </w:p>
    <w:p w14:paraId="23436C4C" w14:textId="46F55ABC" w:rsidR="00A06626" w:rsidRDefault="00A06626" w:rsidP="00A06626">
      <w:pPr>
        <w:ind w:left="720" w:firstLine="720"/>
        <w:rPr>
          <w:lang w:val="es-ES"/>
        </w:rPr>
      </w:pPr>
      <w:r w:rsidRPr="00A06626">
        <w:rPr>
          <w:lang w:val="es-ES"/>
        </w:rPr>
        <w:t xml:space="preserve">. </w:t>
      </w:r>
    </w:p>
    <w:p w14:paraId="56681569" w14:textId="77777777" w:rsidR="00A06626" w:rsidRDefault="00A06626" w:rsidP="00A06626">
      <w:pPr>
        <w:ind w:left="720"/>
        <w:rPr>
          <w:lang w:val="es-ES"/>
        </w:rPr>
      </w:pPr>
      <w:r w:rsidRPr="00A06626">
        <w:rPr>
          <w:lang w:val="es-ES"/>
        </w:rPr>
        <w:t xml:space="preserve">c) </w:t>
      </w:r>
      <w:r w:rsidRPr="00A06626">
        <w:rPr>
          <w:color w:val="2E74B5" w:themeColor="accent1" w:themeShade="BF"/>
          <w:lang w:val="es-ES"/>
        </w:rPr>
        <w:t xml:space="preserve">El eje agroalimentario y rural. </w:t>
      </w:r>
      <w:r w:rsidRPr="00A06626">
        <w:rPr>
          <w:lang w:val="es-ES"/>
        </w:rPr>
        <w:t xml:space="preserve">La Estrategia «De la Granja a la Mesa» (CE, 2020b) dispuso, por su parte, cinco objetivos cuantitativos para 2030 para el eslabón primario: </w:t>
      </w:r>
    </w:p>
    <w:p w14:paraId="10224E3C" w14:textId="7B23D4D1" w:rsidR="00A06626" w:rsidRDefault="00A06626" w:rsidP="008B7CF7">
      <w:pPr>
        <w:ind w:left="720" w:firstLine="720"/>
        <w:rPr>
          <w:lang w:val="es-ES"/>
        </w:rPr>
      </w:pPr>
      <w:r w:rsidRPr="00A06626">
        <w:rPr>
          <w:lang w:val="es-ES"/>
        </w:rPr>
        <w:lastRenderedPageBreak/>
        <w:t>1) reducir en un 20 por 100 e</w:t>
      </w:r>
      <w:r w:rsidR="008B7CF7">
        <w:rPr>
          <w:lang w:val="es-ES"/>
        </w:rPr>
        <w:t>l</w:t>
      </w:r>
      <w:r w:rsidRPr="00A06626">
        <w:rPr>
          <w:lang w:val="es-ES"/>
        </w:rPr>
        <w:t xml:space="preserve"> uso de fertilizantes</w:t>
      </w:r>
      <w:r w:rsidR="008B7CF7">
        <w:rPr>
          <w:lang w:val="es-ES"/>
        </w:rPr>
        <w:t xml:space="preserve"> [químicos]</w:t>
      </w:r>
      <w:r w:rsidRPr="00A06626">
        <w:rPr>
          <w:lang w:val="es-ES"/>
        </w:rPr>
        <w:t xml:space="preserve"> </w:t>
      </w:r>
      <w:r w:rsidR="008B7CF7">
        <w:rPr>
          <w:lang w:val="es-ES"/>
        </w:rPr>
        <w:t>y</w:t>
      </w:r>
      <w:r w:rsidRPr="00A06626">
        <w:rPr>
          <w:lang w:val="es-ES"/>
        </w:rPr>
        <w:t xml:space="preserve"> acotar así en un </w:t>
      </w:r>
      <w:r w:rsidR="008B7CF7">
        <w:rPr>
          <w:lang w:val="es-ES"/>
        </w:rPr>
        <w:t>5</w:t>
      </w:r>
      <w:r w:rsidRPr="00A06626">
        <w:rPr>
          <w:lang w:val="es-ES"/>
        </w:rPr>
        <w:t xml:space="preserve">0 por 100 la pérdida de nutrientes; </w:t>
      </w:r>
    </w:p>
    <w:p w14:paraId="5C4AC883" w14:textId="3AEB4D59" w:rsidR="00A06626" w:rsidRDefault="00A06626" w:rsidP="008B7CF7">
      <w:pPr>
        <w:ind w:left="720" w:firstLine="720"/>
        <w:rPr>
          <w:lang w:val="es-ES"/>
        </w:rPr>
      </w:pPr>
      <w:r w:rsidRPr="00A06626">
        <w:rPr>
          <w:lang w:val="es-ES"/>
        </w:rPr>
        <w:t xml:space="preserve">2) disminuir en un </w:t>
      </w:r>
      <w:r w:rsidR="008B7CF7">
        <w:rPr>
          <w:lang w:val="es-ES"/>
        </w:rPr>
        <w:t>5</w:t>
      </w:r>
      <w:r w:rsidRPr="00A06626">
        <w:rPr>
          <w:lang w:val="es-ES"/>
        </w:rPr>
        <w:t xml:space="preserve">0 por 100 el uso de </w:t>
      </w:r>
      <w:r w:rsidRPr="008B7CF7">
        <w:rPr>
          <w:b/>
          <w:bCs/>
          <w:lang w:val="es-ES"/>
        </w:rPr>
        <w:t>plaguicidas químicos</w:t>
      </w:r>
      <w:r w:rsidRPr="00A06626">
        <w:rPr>
          <w:lang w:val="es-ES"/>
        </w:rPr>
        <w:t xml:space="preserve"> en general</w:t>
      </w:r>
      <w:r w:rsidR="008B7CF7">
        <w:rPr>
          <w:lang w:val="es-ES"/>
        </w:rPr>
        <w:t>, y</w:t>
      </w:r>
      <w:r w:rsidRPr="00A06626">
        <w:rPr>
          <w:lang w:val="es-ES"/>
        </w:rPr>
        <w:t xml:space="preserve"> en otro </w:t>
      </w:r>
      <w:r w:rsidR="008B7CF7">
        <w:rPr>
          <w:lang w:val="es-ES"/>
        </w:rPr>
        <w:t>5</w:t>
      </w:r>
      <w:r w:rsidRPr="00A06626">
        <w:rPr>
          <w:lang w:val="es-ES"/>
        </w:rPr>
        <w:t xml:space="preserve">0 por 100 </w:t>
      </w:r>
      <w:r w:rsidR="008B7CF7">
        <w:rPr>
          <w:lang w:val="es-ES"/>
        </w:rPr>
        <w:t xml:space="preserve">el </w:t>
      </w:r>
      <w:r w:rsidRPr="00A06626">
        <w:rPr>
          <w:lang w:val="es-ES"/>
        </w:rPr>
        <w:t xml:space="preserve">de aquellos más peligrosos; </w:t>
      </w:r>
    </w:p>
    <w:p w14:paraId="1E40B33D" w14:textId="77777777" w:rsidR="00A06626" w:rsidRDefault="00A06626" w:rsidP="008B7CF7">
      <w:pPr>
        <w:ind w:left="720" w:firstLine="720"/>
        <w:rPr>
          <w:lang w:val="es-ES"/>
        </w:rPr>
      </w:pPr>
      <w:r w:rsidRPr="00A06626">
        <w:rPr>
          <w:lang w:val="es-ES"/>
        </w:rPr>
        <w:t xml:space="preserve">3) aminorar el consumo de </w:t>
      </w:r>
      <w:r w:rsidRPr="008B7CF7">
        <w:rPr>
          <w:b/>
          <w:bCs/>
          <w:lang w:val="es-ES"/>
        </w:rPr>
        <w:t xml:space="preserve">antimicrobianos </w:t>
      </w:r>
      <w:r w:rsidRPr="00A06626">
        <w:rPr>
          <w:lang w:val="es-ES"/>
        </w:rPr>
        <w:t>por la ganadería en un 0</w:t>
      </w:r>
      <w:r>
        <w:rPr>
          <w:lang w:val="es-ES"/>
        </w:rPr>
        <w:t>5</w:t>
      </w:r>
      <w:r w:rsidRPr="00A06626">
        <w:rPr>
          <w:lang w:val="es-ES"/>
        </w:rPr>
        <w:t xml:space="preserve"> por 100 </w:t>
      </w:r>
      <w:r>
        <w:rPr>
          <w:lang w:val="es-ES"/>
        </w:rPr>
        <w:t xml:space="preserve"> </w:t>
      </w:r>
    </w:p>
    <w:p w14:paraId="685F6B6E" w14:textId="77777777" w:rsidR="00A06626" w:rsidRDefault="00A06626" w:rsidP="008B7CF7">
      <w:pPr>
        <w:ind w:left="720" w:firstLine="720"/>
        <w:rPr>
          <w:lang w:val="es-ES"/>
        </w:rPr>
      </w:pPr>
      <w:r w:rsidRPr="00A06626">
        <w:rPr>
          <w:lang w:val="es-ES"/>
        </w:rPr>
        <w:t xml:space="preserve">4) reducir en un 10 por 100 el </w:t>
      </w:r>
      <w:r w:rsidRPr="00A06626">
        <w:rPr>
          <w:b/>
          <w:bCs/>
          <w:lang w:val="es-ES"/>
        </w:rPr>
        <w:t>desperdicio alimentario</w:t>
      </w:r>
      <w:r w:rsidRPr="00A06626">
        <w:rPr>
          <w:lang w:val="es-ES"/>
        </w:rPr>
        <w:t xml:space="preserve"> </w:t>
      </w:r>
      <w:r>
        <w:rPr>
          <w:lang w:val="es-ES"/>
        </w:rPr>
        <w:t xml:space="preserve"> </w:t>
      </w:r>
    </w:p>
    <w:p w14:paraId="3C5301EB" w14:textId="561A599B" w:rsidR="003131A4" w:rsidRDefault="00A06626" w:rsidP="00A06626">
      <w:pPr>
        <w:ind w:left="720"/>
        <w:rPr>
          <w:lang w:val="es-ES"/>
        </w:rPr>
      </w:pPr>
      <w:r>
        <w:rPr>
          <w:lang w:val="es-ES"/>
        </w:rPr>
        <w:t>5)</w:t>
      </w:r>
      <w:r w:rsidRPr="00A06626">
        <w:rPr>
          <w:lang w:val="es-ES"/>
        </w:rPr>
        <w:t xml:space="preserve"> dar cobertura de </w:t>
      </w:r>
      <w:r w:rsidRPr="00A06626">
        <w:rPr>
          <w:b/>
          <w:bCs/>
          <w:lang w:val="es-ES"/>
        </w:rPr>
        <w:t>banda ancha</w:t>
      </w:r>
      <w:r w:rsidRPr="00A06626">
        <w:rPr>
          <w:lang w:val="es-ES"/>
        </w:rPr>
        <w:t xml:space="preserve"> al 100 por 100 de las zonas rurales.</w:t>
      </w:r>
    </w:p>
    <w:p w14:paraId="015EA647" w14:textId="00DF21E1" w:rsidR="003131A4" w:rsidRDefault="008B7CF7" w:rsidP="003131A4">
      <w:pPr>
        <w:ind w:left="720" w:hanging="720"/>
        <w:rPr>
          <w:lang w:val="es-ES"/>
        </w:rPr>
      </w:pPr>
      <w:r>
        <w:rPr>
          <w:lang w:val="es-ES"/>
        </w:rPr>
        <w:t>d</w:t>
      </w:r>
      <w:r>
        <w:rPr>
          <w:lang w:val="es-ES"/>
        </w:rPr>
        <w:t>)</w:t>
      </w:r>
      <w:r w:rsidRPr="00A06626">
        <w:rPr>
          <w:lang w:val="es-ES"/>
        </w:rPr>
        <w:t xml:space="preserve">  convertir al</w:t>
      </w:r>
      <w:r>
        <w:rPr>
          <w:lang w:val="es-ES"/>
        </w:rPr>
        <w:t xml:space="preserve"> </w:t>
      </w:r>
      <w:r w:rsidRPr="00A06626">
        <w:rPr>
          <w:lang w:val="es-ES"/>
        </w:rPr>
        <w:t>menos el 30 por 100 de la superficie terrestre en zonas naturales protegidas</w:t>
      </w:r>
      <w:r w:rsidR="00041C6A">
        <w:rPr>
          <w:lang w:val="es-ES"/>
        </w:rPr>
        <w:t>.</w:t>
      </w:r>
    </w:p>
    <w:p w14:paraId="13D1A3AD" w14:textId="5514FC3A" w:rsidR="00041C6A" w:rsidRDefault="00041C6A" w:rsidP="00041C6A">
      <w:pPr>
        <w:pStyle w:val="Ttulo2"/>
        <w:rPr>
          <w:lang w:val="es-ES"/>
        </w:rPr>
      </w:pPr>
      <w:r w:rsidRPr="00041C6A">
        <w:rPr>
          <w:lang w:val="es-ES"/>
        </w:rPr>
        <w:t>1. Los límites de la «PAC</w:t>
      </w:r>
      <w:r>
        <w:rPr>
          <w:lang w:val="es-ES"/>
        </w:rPr>
        <w:t>-</w:t>
      </w:r>
      <w:r w:rsidRPr="00041C6A">
        <w:rPr>
          <w:lang w:val="es-ES"/>
        </w:rPr>
        <w:t>marco»: la dispersión de objetivos e instrumentos</w:t>
      </w:r>
    </w:p>
    <w:p w14:paraId="211D1A35" w14:textId="77777777" w:rsidR="00041C6A" w:rsidRPr="00041C6A" w:rsidRDefault="00041C6A" w:rsidP="00041C6A">
      <w:pPr>
        <w:rPr>
          <w:lang w:val="es-ES"/>
        </w:rPr>
      </w:pPr>
    </w:p>
    <w:p w14:paraId="730F46B5" w14:textId="6B65A2C9" w:rsidR="00041C6A" w:rsidRDefault="00041C6A" w:rsidP="003131A4">
      <w:pPr>
        <w:ind w:left="720" w:hanging="720"/>
        <w:rPr>
          <w:lang w:val="es-ES"/>
        </w:rPr>
      </w:pPr>
      <w:r w:rsidRPr="00041C6A">
        <w:rPr>
          <w:lang w:val="es-ES"/>
        </w:rPr>
        <w:t xml:space="preserve">Al cotejar los 28 planes estratégicos aprobados por la Comisión se </w:t>
      </w:r>
      <w:r w:rsidR="00BC2CF9" w:rsidRPr="00041C6A">
        <w:rPr>
          <w:lang w:val="es-ES"/>
        </w:rPr>
        <w:t>concluye</w:t>
      </w:r>
      <w:r w:rsidRPr="00041C6A">
        <w:rPr>
          <w:lang w:val="es-ES"/>
        </w:rPr>
        <w:t xml:space="preserve"> que la </w:t>
      </w:r>
      <w:r>
        <w:rPr>
          <w:lang w:val="es-ES"/>
        </w:rPr>
        <w:t>fl</w:t>
      </w:r>
      <w:r w:rsidRPr="00041C6A">
        <w:rPr>
          <w:lang w:val="es-ES"/>
        </w:rPr>
        <w:t>exibilidad</w:t>
      </w:r>
      <w:r>
        <w:rPr>
          <w:lang w:val="es-ES"/>
        </w:rPr>
        <w:t xml:space="preserve"> r</w:t>
      </w:r>
      <w:r w:rsidRPr="00041C6A">
        <w:rPr>
          <w:lang w:val="es-ES"/>
        </w:rPr>
        <w:t xml:space="preserve">econocida a las autoridades nacionales en su gestión se ha traducido en: </w:t>
      </w:r>
    </w:p>
    <w:p w14:paraId="46247514" w14:textId="77777777" w:rsidR="00041C6A" w:rsidRDefault="00041C6A" w:rsidP="003131A4">
      <w:pPr>
        <w:ind w:left="720" w:hanging="720"/>
        <w:rPr>
          <w:lang w:val="es-ES"/>
        </w:rPr>
      </w:pPr>
      <w:r w:rsidRPr="00041C6A">
        <w:rPr>
          <w:lang w:val="es-ES"/>
        </w:rPr>
        <w:t xml:space="preserve">1) </w:t>
      </w:r>
      <w:r w:rsidRPr="00041C6A">
        <w:rPr>
          <w:color w:val="ED7D31" w:themeColor="accent2"/>
          <w:lang w:val="es-ES"/>
        </w:rPr>
        <w:t xml:space="preserve">una enorme dispersión de objetivos; </w:t>
      </w:r>
    </w:p>
    <w:p w14:paraId="0FFB8726" w14:textId="77777777" w:rsidR="00041C6A" w:rsidRDefault="00041C6A" w:rsidP="003131A4">
      <w:pPr>
        <w:ind w:left="720" w:hanging="720"/>
        <w:rPr>
          <w:lang w:val="es-ES"/>
        </w:rPr>
      </w:pPr>
      <w:r w:rsidRPr="00041C6A">
        <w:rPr>
          <w:lang w:val="es-ES"/>
        </w:rPr>
        <w:t xml:space="preserve">2) </w:t>
      </w:r>
      <w:r w:rsidRPr="00041C6A">
        <w:rPr>
          <w:color w:val="ED7D31" w:themeColor="accent2"/>
          <w:lang w:val="es-ES"/>
        </w:rPr>
        <w:t>una pluralidad de enfoques e instrumentos</w:t>
      </w:r>
      <w:r w:rsidRPr="00041C6A">
        <w:rPr>
          <w:lang w:val="es-ES"/>
        </w:rPr>
        <w:t xml:space="preserve"> (de los dos pilares) para alcanzar objetivos similares; y </w:t>
      </w:r>
    </w:p>
    <w:p w14:paraId="0B23582F" w14:textId="46FF6150" w:rsidR="00041C6A" w:rsidRDefault="00041C6A" w:rsidP="003131A4">
      <w:pPr>
        <w:ind w:left="720" w:hanging="720"/>
        <w:rPr>
          <w:lang w:val="es-ES"/>
        </w:rPr>
      </w:pPr>
      <w:r w:rsidRPr="00041C6A">
        <w:rPr>
          <w:lang w:val="es-ES"/>
        </w:rPr>
        <w:t xml:space="preserve">3) </w:t>
      </w:r>
      <w:r w:rsidRPr="00041C6A">
        <w:rPr>
          <w:color w:val="ED7D31" w:themeColor="accent2"/>
          <w:lang w:val="es-ES"/>
        </w:rPr>
        <w:t>una gran heterogeneidad en los indicadores de resultados utilizados</w:t>
      </w:r>
      <w:r w:rsidRPr="00041C6A">
        <w:rPr>
          <w:lang w:val="es-ES"/>
        </w:rPr>
        <w:t xml:space="preserve"> </w:t>
      </w:r>
    </w:p>
    <w:p w14:paraId="3623A7B5" w14:textId="1A969A32" w:rsidR="003131A4" w:rsidRDefault="00041C6A" w:rsidP="003131A4">
      <w:pPr>
        <w:ind w:left="720" w:hanging="720"/>
        <w:rPr>
          <w:lang w:val="es-ES"/>
        </w:rPr>
      </w:pPr>
      <w:r>
        <w:rPr>
          <w:lang w:val="es-ES"/>
        </w:rPr>
        <w:t xml:space="preserve">(…) </w:t>
      </w:r>
      <w:r w:rsidRPr="00041C6A">
        <w:rPr>
          <w:lang w:val="es-ES"/>
        </w:rPr>
        <w:t xml:space="preserve">De todos modos, el mayor peligro no deriva de la múltiple combinatoria de objetivos e instrumentos de los 28 PEN que, al fin al cabo, son simples declaraciones de intenciones. </w:t>
      </w:r>
      <w:r w:rsidRPr="004A0B93">
        <w:rPr>
          <w:color w:val="ED7D31" w:themeColor="accent2"/>
          <w:lang w:val="es-ES"/>
        </w:rPr>
        <w:t>El meollo del problema radica en su</w:t>
      </w:r>
      <w:r w:rsidRPr="004A0B93">
        <w:rPr>
          <w:color w:val="ED7D31" w:themeColor="accent2"/>
          <w:lang w:val="es-ES"/>
        </w:rPr>
        <w:t xml:space="preserve"> </w:t>
      </w:r>
      <w:r w:rsidRPr="004A0B93">
        <w:rPr>
          <w:b/>
          <w:bCs/>
          <w:color w:val="ED7D31" w:themeColor="accent2"/>
          <w:lang w:val="es-ES"/>
        </w:rPr>
        <w:t>efectividad</w:t>
      </w:r>
      <w:r w:rsidRPr="004A0B93">
        <w:rPr>
          <w:color w:val="ED7D31" w:themeColor="accent2"/>
          <w:lang w:val="es-ES"/>
        </w:rPr>
        <w:t xml:space="preserve"> </w:t>
      </w:r>
      <w:r w:rsidRPr="00041C6A">
        <w:rPr>
          <w:lang w:val="es-ES"/>
        </w:rPr>
        <w:t>o, si se prefiere, qu</w:t>
      </w:r>
      <w:r>
        <w:rPr>
          <w:lang w:val="es-ES"/>
        </w:rPr>
        <w:t>é</w:t>
      </w:r>
      <w:r w:rsidRPr="00041C6A">
        <w:rPr>
          <w:lang w:val="es-ES"/>
        </w:rPr>
        <w:t xml:space="preserve"> resultados se obtendrán al implementar las acciones </w:t>
      </w:r>
      <w:r w:rsidR="00837094" w:rsidRPr="00041C6A">
        <w:rPr>
          <w:lang w:val="es-ES"/>
        </w:rPr>
        <w:t>previstas</w:t>
      </w:r>
      <w:r w:rsidR="00837094">
        <w:rPr>
          <w:lang w:val="es-ES"/>
        </w:rPr>
        <w:t>. (</w:t>
      </w:r>
      <w:r>
        <w:rPr>
          <w:lang w:val="es-ES"/>
        </w:rPr>
        <w:t>…)</w:t>
      </w:r>
    </w:p>
    <w:p w14:paraId="781B129A" w14:textId="77777777" w:rsidR="00041C6A" w:rsidRDefault="00041C6A" w:rsidP="00041C6A">
      <w:pPr>
        <w:pStyle w:val="Ttulo2"/>
        <w:rPr>
          <w:lang w:val="es-ES"/>
        </w:rPr>
      </w:pPr>
      <w:r w:rsidRPr="00041C6A">
        <w:rPr>
          <w:lang w:val="es-ES"/>
        </w:rPr>
        <w:t xml:space="preserve">2. Los límites de la «PAC multinivel»: el eficiente despliegue del Pacto Verde </w:t>
      </w:r>
    </w:p>
    <w:p w14:paraId="1EC517C4" w14:textId="77777777" w:rsidR="00041C6A" w:rsidRDefault="00041C6A" w:rsidP="003131A4">
      <w:pPr>
        <w:ind w:left="720" w:hanging="720"/>
        <w:rPr>
          <w:lang w:val="es-ES"/>
        </w:rPr>
      </w:pPr>
    </w:p>
    <w:p w14:paraId="79D12524" w14:textId="77777777" w:rsidR="00041C6A" w:rsidRDefault="00041C6A" w:rsidP="003131A4">
      <w:pPr>
        <w:ind w:left="720" w:hanging="720"/>
        <w:rPr>
          <w:lang w:val="es-ES"/>
        </w:rPr>
      </w:pPr>
      <w:r w:rsidRPr="00041C6A">
        <w:rPr>
          <w:lang w:val="es-ES"/>
        </w:rPr>
        <w:t xml:space="preserve">El Pacto Verde reforzó la componente agroambiental y alimentaria de la PAC con sus 10 objetivos cuantitativos para el sector agrario dando por supuesto que serían en su momento recogidos por los PEN. </w:t>
      </w:r>
      <w:r>
        <w:rPr>
          <w:lang w:val="es-ES"/>
        </w:rPr>
        <w:t xml:space="preserve"> </w:t>
      </w:r>
    </w:p>
    <w:p w14:paraId="56F6EF8D" w14:textId="77777777" w:rsidR="00041C6A" w:rsidRDefault="00041C6A" w:rsidP="003131A4">
      <w:pPr>
        <w:ind w:left="720" w:hanging="720"/>
        <w:rPr>
          <w:lang w:val="es-ES"/>
        </w:rPr>
      </w:pPr>
      <w:r>
        <w:rPr>
          <w:lang w:val="es-ES"/>
        </w:rPr>
        <w:t>E</w:t>
      </w:r>
      <w:r w:rsidRPr="00041C6A">
        <w:rPr>
          <w:lang w:val="es-ES"/>
        </w:rPr>
        <w:t xml:space="preserve">quivalía a crear una cláusula automática de revisión de los PEN ya aprobados e implicaba que los objetivos cuantitativos agroambientales y climáticos del Pacto Verde tienen asegurada la contribución de la PAC para su logro. </w:t>
      </w:r>
    </w:p>
    <w:p w14:paraId="5445C43C" w14:textId="7EC52C91" w:rsidR="003131A4" w:rsidRDefault="00041C6A" w:rsidP="003131A4">
      <w:pPr>
        <w:ind w:left="720" w:hanging="720"/>
        <w:rPr>
          <w:b/>
          <w:bCs/>
          <w:lang w:val="es-ES"/>
        </w:rPr>
      </w:pPr>
      <w:r w:rsidRPr="00041C6A">
        <w:rPr>
          <w:lang w:val="es-ES"/>
        </w:rPr>
        <w:t xml:space="preserve">Por el contrario, las </w:t>
      </w:r>
      <w:r w:rsidRPr="00041C6A">
        <w:rPr>
          <w:color w:val="70AD47" w:themeColor="accent6"/>
          <w:lang w:val="es-ES"/>
        </w:rPr>
        <w:t xml:space="preserve">metas cuantificadas de las </w:t>
      </w:r>
      <w:r>
        <w:rPr>
          <w:color w:val="70AD47" w:themeColor="accent6"/>
          <w:lang w:val="es-ES"/>
        </w:rPr>
        <w:t>e</w:t>
      </w:r>
      <w:r w:rsidRPr="00041C6A">
        <w:rPr>
          <w:color w:val="70AD47" w:themeColor="accent6"/>
          <w:lang w:val="es-ES"/>
        </w:rPr>
        <w:t xml:space="preserve">strategias de la «Biodiversidad 2030» </w:t>
      </w:r>
      <w:r w:rsidRPr="00041C6A">
        <w:rPr>
          <w:lang w:val="es-ES"/>
        </w:rPr>
        <w:t xml:space="preserve">y </w:t>
      </w:r>
      <w:r w:rsidRPr="00041C6A">
        <w:rPr>
          <w:color w:val="00B0F0"/>
          <w:lang w:val="es-ES"/>
        </w:rPr>
        <w:t>«De la Granja a la Mesa»</w:t>
      </w:r>
      <w:r w:rsidRPr="00041C6A">
        <w:rPr>
          <w:lang w:val="es-ES"/>
        </w:rPr>
        <w:t xml:space="preserve"> </w:t>
      </w:r>
      <w:r w:rsidRPr="00041C6A">
        <w:rPr>
          <w:b/>
          <w:bCs/>
          <w:lang w:val="es-ES"/>
        </w:rPr>
        <w:t>no fueron integradas en la parte dispositiva</w:t>
      </w:r>
      <w:r w:rsidRPr="00041C6A">
        <w:rPr>
          <w:lang w:val="es-ES"/>
        </w:rPr>
        <w:t xml:space="preserve"> de los reglamentos básicos de la nueva PAC. </w:t>
      </w:r>
      <w:r w:rsidR="0059430C">
        <w:rPr>
          <w:lang w:val="es-ES"/>
        </w:rPr>
        <w:t>E</w:t>
      </w:r>
      <w:r w:rsidRPr="00041C6A">
        <w:rPr>
          <w:lang w:val="es-ES"/>
        </w:rPr>
        <w:t xml:space="preserve">staban además presentes, </w:t>
      </w:r>
      <w:r w:rsidRPr="0059430C">
        <w:rPr>
          <w:b/>
          <w:bCs/>
          <w:lang w:val="es-ES"/>
        </w:rPr>
        <w:t>sin cifras</w:t>
      </w:r>
      <w:r w:rsidRPr="00041C6A">
        <w:rPr>
          <w:lang w:val="es-ES"/>
        </w:rPr>
        <w:t xml:space="preserve">, en los indicadores de resultados y de contexto del Anexo 1 del </w:t>
      </w:r>
      <w:r w:rsidR="004A0B93">
        <w:rPr>
          <w:lang w:val="es-ES"/>
        </w:rPr>
        <w:t>r</w:t>
      </w:r>
      <w:r w:rsidR="004A0B93" w:rsidRPr="00041C6A">
        <w:rPr>
          <w:lang w:val="es-ES"/>
        </w:rPr>
        <w:t>eglamento 2021</w:t>
      </w:r>
      <w:r w:rsidR="00837094">
        <w:rPr>
          <w:lang w:val="es-ES"/>
        </w:rPr>
        <w:t>/</w:t>
      </w:r>
      <w:r w:rsidRPr="00041C6A">
        <w:rPr>
          <w:lang w:val="es-ES"/>
        </w:rPr>
        <w:t>211</w:t>
      </w:r>
      <w:r w:rsidR="00837094">
        <w:rPr>
          <w:lang w:val="es-ES"/>
        </w:rPr>
        <w:t>5</w:t>
      </w:r>
      <w:r w:rsidRPr="00041C6A">
        <w:rPr>
          <w:lang w:val="es-ES"/>
        </w:rPr>
        <w:t xml:space="preserve">. </w:t>
      </w:r>
      <w:r w:rsidRPr="00837094">
        <w:rPr>
          <w:b/>
          <w:bCs/>
          <w:lang w:val="es-ES"/>
        </w:rPr>
        <w:t>Pero no era obligatoria su transposición en los PEN en tanto</w:t>
      </w:r>
      <w:r w:rsidR="00837094">
        <w:rPr>
          <w:b/>
          <w:bCs/>
          <w:lang w:val="es-ES"/>
        </w:rPr>
        <w:t xml:space="preserve"> </w:t>
      </w:r>
      <w:r w:rsidR="00837094" w:rsidRPr="00837094">
        <w:rPr>
          <w:b/>
          <w:bCs/>
          <w:lang w:val="es-ES"/>
        </w:rPr>
        <w:t>que ambos documentos no constituían actos jurídicamente exigibles para la aprobación de los PEN por la Comisión, sino simples Comunicaciones destinadas a fi</w:t>
      </w:r>
      <w:r w:rsidR="00837094">
        <w:rPr>
          <w:b/>
          <w:bCs/>
          <w:lang w:val="es-ES"/>
        </w:rPr>
        <w:t>j</w:t>
      </w:r>
      <w:r w:rsidR="00837094" w:rsidRPr="00837094">
        <w:rPr>
          <w:b/>
          <w:bCs/>
          <w:lang w:val="es-ES"/>
        </w:rPr>
        <w:t>ar orientaciones políticas (Massot, 2022)</w:t>
      </w:r>
      <w:r w:rsidR="00837094">
        <w:rPr>
          <w:b/>
          <w:bCs/>
          <w:lang w:val="es-ES"/>
        </w:rPr>
        <w:t>.</w:t>
      </w:r>
    </w:p>
    <w:p w14:paraId="2D230C4A" w14:textId="6272CFD8" w:rsidR="00837094" w:rsidRDefault="00837094" w:rsidP="003131A4">
      <w:pPr>
        <w:ind w:left="720" w:hanging="720"/>
        <w:rPr>
          <w:lang w:val="es-ES"/>
        </w:rPr>
      </w:pPr>
      <w:r w:rsidRPr="00837094">
        <w:rPr>
          <w:lang w:val="es-ES"/>
        </w:rPr>
        <w:lastRenderedPageBreak/>
        <w:t xml:space="preserve">En el extremo opuesto, hay </w:t>
      </w:r>
      <w:r w:rsidRPr="00837094">
        <w:rPr>
          <w:b/>
          <w:bCs/>
          <w:lang w:val="es-ES"/>
        </w:rPr>
        <w:t>metas desmesuradas</w:t>
      </w:r>
      <w:r w:rsidRPr="00837094">
        <w:rPr>
          <w:lang w:val="es-ES"/>
        </w:rPr>
        <w:t xml:space="preserve"> como la de dedicar el </w:t>
      </w:r>
      <w:r w:rsidRPr="00837094">
        <w:rPr>
          <w:color w:val="70AD47" w:themeColor="accent6"/>
          <w:lang w:val="es-ES"/>
        </w:rPr>
        <w:t>25%</w:t>
      </w:r>
      <w:r w:rsidRPr="00837094">
        <w:rPr>
          <w:color w:val="70AD47" w:themeColor="accent6"/>
          <w:lang w:val="es-ES"/>
        </w:rPr>
        <w:t xml:space="preserve"> de las tierras agrarias a la agricultura ecológica en 2030</w:t>
      </w:r>
      <w:r w:rsidRPr="00837094">
        <w:rPr>
          <w:lang w:val="es-ES"/>
        </w:rPr>
        <w:t xml:space="preserve"> (situada en un 9,9 por 100 en 2021) (Eurostat, 2023b, p. 18). Pese a que 21 PEN establecen objetivos nacionales específicos en favor de este sistema de producción </w:t>
      </w:r>
      <w:r>
        <w:rPr>
          <w:lang w:val="es-ES"/>
        </w:rPr>
        <w:t xml:space="preserve">y que </w:t>
      </w:r>
      <w:r w:rsidRPr="00837094">
        <w:rPr>
          <w:lang w:val="es-ES"/>
        </w:rPr>
        <w:t>casi se duplica la cobertura financiera a su superficie</w:t>
      </w:r>
      <w:r>
        <w:rPr>
          <w:lang w:val="es-ES"/>
        </w:rPr>
        <w:t xml:space="preserve"> (</w:t>
      </w:r>
      <w:r w:rsidRPr="00837094">
        <w:rPr>
          <w:b/>
          <w:bCs/>
          <w:lang w:val="es-ES"/>
        </w:rPr>
        <w:t>5</w:t>
      </w:r>
      <w:r w:rsidRPr="00837094">
        <w:rPr>
          <w:b/>
          <w:bCs/>
          <w:lang w:val="es-ES"/>
        </w:rPr>
        <w:t xml:space="preserve"> </w:t>
      </w:r>
      <w:r w:rsidRPr="00837094">
        <w:rPr>
          <w:b/>
          <w:bCs/>
          <w:lang w:val="es-ES"/>
        </w:rPr>
        <w:t>6%</w:t>
      </w:r>
      <w:r w:rsidRPr="00837094">
        <w:rPr>
          <w:b/>
          <w:bCs/>
          <w:lang w:val="es-ES"/>
        </w:rPr>
        <w:t>,</w:t>
      </w:r>
      <w:r w:rsidRPr="00837094">
        <w:rPr>
          <w:lang w:val="es-ES"/>
        </w:rPr>
        <w:t xml:space="preserve"> de la SAU en 2020; 9,9 por 100 en 2027 Folkeson et al., 2023, pp. 498 </w:t>
      </w:r>
      <w:r>
        <w:rPr>
          <w:lang w:val="es-ES"/>
        </w:rPr>
        <w:t>y 56</w:t>
      </w:r>
      <w:r w:rsidRPr="00837094">
        <w:rPr>
          <w:lang w:val="es-ES"/>
        </w:rPr>
        <w:t>2</w:t>
      </w:r>
      <w:r>
        <w:rPr>
          <w:lang w:val="es-ES"/>
        </w:rPr>
        <w:t>)</w:t>
      </w:r>
      <w:r w:rsidRPr="00837094">
        <w:rPr>
          <w:lang w:val="es-ES"/>
        </w:rPr>
        <w:t>,</w:t>
      </w:r>
      <w:r>
        <w:rPr>
          <w:lang w:val="es-ES"/>
        </w:rPr>
        <w:t xml:space="preserve"> </w:t>
      </w:r>
      <w:r w:rsidRPr="00FC1A7F">
        <w:rPr>
          <w:b/>
          <w:bCs/>
          <w:lang w:val="es-ES"/>
        </w:rPr>
        <w:t>se puede dar por hecho que se in</w:t>
      </w:r>
      <w:r w:rsidRPr="00FC1A7F">
        <w:rPr>
          <w:b/>
          <w:bCs/>
          <w:lang w:val="es-ES"/>
        </w:rPr>
        <w:t xml:space="preserve"> </w:t>
      </w:r>
      <w:r w:rsidRPr="00FC1A7F">
        <w:rPr>
          <w:b/>
          <w:bCs/>
          <w:lang w:val="es-ES"/>
        </w:rPr>
        <w:t>cumplirá este objetivo</w:t>
      </w:r>
      <w:r w:rsidRPr="00837094">
        <w:rPr>
          <w:lang w:val="es-ES"/>
        </w:rPr>
        <w:t xml:space="preserve">. También </w:t>
      </w:r>
      <w:r w:rsidRPr="00FC1A7F">
        <w:rPr>
          <w:b/>
          <w:bCs/>
          <w:lang w:val="es-ES"/>
        </w:rPr>
        <w:t>hay que descartar que el 10 por 100 de la SAU se destine en 2030 a preservar la biodiversidad y los ecosistemas</w:t>
      </w:r>
      <w:r w:rsidRPr="00837094">
        <w:rPr>
          <w:lang w:val="es-ES"/>
        </w:rPr>
        <w:t xml:space="preserve"> cuando el resultado previsto por los PEN se cifra de media en un escueto </w:t>
      </w:r>
      <w:r w:rsidRPr="00FC1A7F">
        <w:rPr>
          <w:b/>
          <w:bCs/>
          <w:lang w:val="es-ES"/>
        </w:rPr>
        <w:t>1,77</w:t>
      </w:r>
      <w:r w:rsidRPr="00837094">
        <w:rPr>
          <w:lang w:val="es-ES"/>
        </w:rPr>
        <w:t xml:space="preserve"> por 100 para 2027 Folkeson et al., 2023, p. </w:t>
      </w:r>
      <w:r w:rsidR="00FC1A7F">
        <w:rPr>
          <w:lang w:val="es-ES"/>
        </w:rPr>
        <w:t>506)</w:t>
      </w:r>
      <w:r w:rsidRPr="00837094">
        <w:rPr>
          <w:lang w:val="es-ES"/>
        </w:rPr>
        <w:t>.</w:t>
      </w:r>
    </w:p>
    <w:p w14:paraId="1EAD4CB9" w14:textId="77777777" w:rsidR="00FC1A7F" w:rsidRDefault="00FC1A7F" w:rsidP="003131A4">
      <w:pPr>
        <w:ind w:left="720" w:hanging="720"/>
        <w:rPr>
          <w:lang w:val="es-ES"/>
        </w:rPr>
      </w:pPr>
      <w:r w:rsidRPr="00FC1A7F">
        <w:rPr>
          <w:lang w:val="es-ES"/>
        </w:rPr>
        <w:t xml:space="preserve">Por último, hay </w:t>
      </w:r>
      <w:r w:rsidRPr="00FC1A7F">
        <w:rPr>
          <w:b/>
          <w:bCs/>
          <w:lang w:val="es-ES"/>
        </w:rPr>
        <w:t>metas cifradas que necesitarán un esfuerzo político adicional</w:t>
      </w:r>
      <w:r w:rsidRPr="00FC1A7F">
        <w:rPr>
          <w:lang w:val="es-ES"/>
        </w:rPr>
        <w:t xml:space="preserve"> para ser alcanzadas. Son los casos de: </w:t>
      </w:r>
    </w:p>
    <w:p w14:paraId="699C7E1D" w14:textId="594FD522" w:rsidR="00FC1A7F" w:rsidRPr="00837094" w:rsidRDefault="00FC1A7F" w:rsidP="003131A4">
      <w:pPr>
        <w:ind w:left="720" w:hanging="720"/>
        <w:rPr>
          <w:lang w:val="es-ES"/>
        </w:rPr>
      </w:pPr>
      <w:r w:rsidRPr="00FC1A7F">
        <w:rPr>
          <w:lang w:val="es-ES"/>
        </w:rPr>
        <w:t xml:space="preserve">1. </w:t>
      </w:r>
      <w:r w:rsidRPr="004A0B93">
        <w:rPr>
          <w:b/>
          <w:bCs/>
          <w:lang w:val="es-ES"/>
        </w:rPr>
        <w:t>El acceso a la banda ancha</w:t>
      </w:r>
      <w:r w:rsidRPr="00FC1A7F">
        <w:rPr>
          <w:lang w:val="es-ES"/>
        </w:rPr>
        <w:t xml:space="preserve"> de la totalidad de los hogares rurales en 2030 (en 2021 solo asegurada para un 40 por 100) </w:t>
      </w:r>
      <w:r>
        <w:rPr>
          <w:lang w:val="es-ES"/>
        </w:rPr>
        <w:t>(</w:t>
      </w:r>
      <w:r w:rsidRPr="00FC1A7F">
        <w:rPr>
          <w:lang w:val="es-ES"/>
        </w:rPr>
        <w:t>D</w:t>
      </w:r>
      <w:r>
        <w:rPr>
          <w:lang w:val="es-ES"/>
        </w:rPr>
        <w:t>ESI</w:t>
      </w:r>
      <w:r w:rsidRPr="00FC1A7F">
        <w:rPr>
          <w:lang w:val="es-ES"/>
        </w:rPr>
        <w:t>, 2022</w:t>
      </w:r>
      <w:r>
        <w:rPr>
          <w:lang w:val="es-ES"/>
        </w:rPr>
        <w:t>)</w:t>
      </w:r>
      <w:r w:rsidRPr="00FC1A7F">
        <w:rPr>
          <w:lang w:val="es-ES"/>
        </w:rPr>
        <w:t>.</w:t>
      </w:r>
    </w:p>
    <w:p w14:paraId="1953B410" w14:textId="443F29B3" w:rsidR="003131A4" w:rsidRDefault="00FC1A7F" w:rsidP="003131A4">
      <w:pPr>
        <w:ind w:left="720" w:hanging="720"/>
        <w:rPr>
          <w:lang w:val="es-ES"/>
        </w:rPr>
      </w:pPr>
      <w:r w:rsidRPr="00FC1A7F">
        <w:rPr>
          <w:lang w:val="es-ES"/>
        </w:rPr>
        <w:t xml:space="preserve">2. </w:t>
      </w:r>
      <w:r w:rsidRPr="004A0B93">
        <w:rPr>
          <w:b/>
          <w:bCs/>
          <w:lang w:val="es-ES"/>
        </w:rPr>
        <w:t>La reducción de las ventas de pesticidas más peligrosos</w:t>
      </w:r>
      <w:r w:rsidRPr="00FC1A7F">
        <w:rPr>
          <w:lang w:val="es-ES"/>
        </w:rPr>
        <w:t xml:space="preserve"> (CE, 2023d), en tanto que se cuant</w:t>
      </w:r>
      <w:r>
        <w:rPr>
          <w:lang w:val="es-ES"/>
        </w:rPr>
        <w:t xml:space="preserve">ifica </w:t>
      </w:r>
      <w:r w:rsidRPr="00FC1A7F">
        <w:rPr>
          <w:lang w:val="es-ES"/>
        </w:rPr>
        <w:t>solamente con ocho PEN con metas específicas</w:t>
      </w:r>
      <w:r>
        <w:rPr>
          <w:lang w:val="es-ES"/>
        </w:rPr>
        <w:t>.</w:t>
      </w:r>
    </w:p>
    <w:p w14:paraId="0A0DB03C" w14:textId="6357B806" w:rsidR="00FC1A7F" w:rsidRDefault="00FC1A7F" w:rsidP="003131A4">
      <w:pPr>
        <w:ind w:left="720" w:hanging="720"/>
        <w:rPr>
          <w:lang w:val="es-ES"/>
        </w:rPr>
      </w:pPr>
      <w:r w:rsidRPr="00FC1A7F">
        <w:rPr>
          <w:lang w:val="es-ES"/>
        </w:rPr>
        <w:t xml:space="preserve">3. </w:t>
      </w:r>
      <w:r w:rsidRPr="004A0B93">
        <w:rPr>
          <w:b/>
          <w:bCs/>
          <w:lang w:val="es-ES"/>
        </w:rPr>
        <w:t xml:space="preserve">El menor uso de </w:t>
      </w:r>
      <w:r w:rsidRPr="004A0B93">
        <w:rPr>
          <w:b/>
          <w:bCs/>
          <w:lang w:val="es-ES"/>
        </w:rPr>
        <w:t>f</w:t>
      </w:r>
      <w:r w:rsidRPr="004A0B93">
        <w:rPr>
          <w:b/>
          <w:bCs/>
          <w:lang w:val="es-ES"/>
        </w:rPr>
        <w:t>ertili</w:t>
      </w:r>
      <w:r w:rsidRPr="004A0B93">
        <w:rPr>
          <w:b/>
          <w:bCs/>
          <w:lang w:val="es-ES"/>
        </w:rPr>
        <w:t>z</w:t>
      </w:r>
      <w:r w:rsidRPr="004A0B93">
        <w:rPr>
          <w:b/>
          <w:bCs/>
          <w:lang w:val="es-ES"/>
        </w:rPr>
        <w:t>antes fosfatados</w:t>
      </w:r>
      <w:r w:rsidRPr="00FC1A7F">
        <w:rPr>
          <w:lang w:val="es-ES"/>
        </w:rPr>
        <w:t xml:space="preserve"> (Eurostat, 2023a) y la limitación de la p</w:t>
      </w:r>
      <w:r>
        <w:rPr>
          <w:lang w:val="es-ES"/>
        </w:rPr>
        <w:t>é</w:t>
      </w:r>
      <w:r w:rsidRPr="00FC1A7F">
        <w:rPr>
          <w:lang w:val="es-ES"/>
        </w:rPr>
        <w:t xml:space="preserve">rdida de nutrientes </w:t>
      </w:r>
      <w:r w:rsidRPr="002F39AA">
        <w:rPr>
          <w:b/>
          <w:bCs/>
          <w:lang w:val="es-ES"/>
        </w:rPr>
        <w:t>choca con el bajo esfuerzo que, de media, re</w:t>
      </w:r>
      <w:r w:rsidRPr="002F39AA">
        <w:rPr>
          <w:b/>
          <w:bCs/>
          <w:lang w:val="es-ES"/>
        </w:rPr>
        <w:t>fl</w:t>
      </w:r>
      <w:r w:rsidRPr="002F39AA">
        <w:rPr>
          <w:b/>
          <w:bCs/>
          <w:lang w:val="es-ES"/>
        </w:rPr>
        <w:t>ejan los PEN</w:t>
      </w:r>
      <w:r w:rsidRPr="00FC1A7F">
        <w:rPr>
          <w:lang w:val="es-ES"/>
        </w:rPr>
        <w:t xml:space="preserve"> para conseguirlos, diecinueve de los cuales ni siquiera mencionan metas específicas en esta materia. </w:t>
      </w:r>
      <w:r w:rsidR="002F39AA">
        <w:rPr>
          <w:lang w:val="es-ES"/>
        </w:rPr>
        <w:t>(…)</w:t>
      </w:r>
    </w:p>
    <w:p w14:paraId="462F8414" w14:textId="0B4977C9" w:rsidR="00FC1A7F" w:rsidRDefault="00FC1A7F" w:rsidP="003131A4">
      <w:pPr>
        <w:ind w:left="720" w:hanging="720"/>
        <w:rPr>
          <w:lang w:val="es-ES"/>
        </w:rPr>
      </w:pPr>
      <w:r w:rsidRPr="00FC1A7F">
        <w:rPr>
          <w:lang w:val="es-ES"/>
        </w:rPr>
        <w:t xml:space="preserve">4. </w:t>
      </w:r>
      <w:r w:rsidRPr="004A0B93">
        <w:rPr>
          <w:b/>
          <w:bCs/>
          <w:lang w:val="es-ES"/>
        </w:rPr>
        <w:t>El descenso del desperdicio alimentario</w:t>
      </w:r>
      <w:r w:rsidRPr="00FC1A7F">
        <w:rPr>
          <w:lang w:val="es-ES"/>
        </w:rPr>
        <w:t xml:space="preserve"> en un 10 por 100 es </w:t>
      </w:r>
      <w:r w:rsidRPr="002F39AA">
        <w:rPr>
          <w:b/>
          <w:bCs/>
          <w:lang w:val="es-ES"/>
        </w:rPr>
        <w:t>una meta complicada de alcanzar por la baja prioridad que le otorgan la mayor parte de los PEN</w:t>
      </w:r>
      <w:r w:rsidRPr="00FC1A7F">
        <w:rPr>
          <w:lang w:val="es-ES"/>
        </w:rPr>
        <w:t xml:space="preserve">, </w:t>
      </w:r>
      <w:r w:rsidR="004A0B93">
        <w:rPr>
          <w:lang w:val="es-ES"/>
        </w:rPr>
        <w:t xml:space="preserve">Y </w:t>
      </w:r>
      <w:r w:rsidRPr="00FC1A7F">
        <w:rPr>
          <w:lang w:val="es-ES"/>
        </w:rPr>
        <w:t>la ausencia de una metodología armonizada para su cálculo</w:t>
      </w:r>
      <w:r>
        <w:rPr>
          <w:lang w:val="es-ES"/>
        </w:rPr>
        <w:t>.</w:t>
      </w:r>
      <w:r w:rsidRPr="00FC1A7F">
        <w:rPr>
          <w:lang w:val="es-ES"/>
        </w:rPr>
        <w:t xml:space="preserve"> </w:t>
      </w:r>
      <w:r w:rsidR="002F39AA">
        <w:rPr>
          <w:lang w:val="es-ES"/>
        </w:rPr>
        <w:t>(…)</w:t>
      </w:r>
    </w:p>
    <w:p w14:paraId="26E39D32" w14:textId="7C351C1C" w:rsidR="003131A4" w:rsidRDefault="00FC1A7F" w:rsidP="003131A4">
      <w:pPr>
        <w:ind w:left="720" w:hanging="720"/>
        <w:rPr>
          <w:lang w:val="es-ES"/>
        </w:rPr>
      </w:pPr>
      <w:r>
        <w:rPr>
          <w:lang w:val="es-ES"/>
        </w:rPr>
        <w:t>5</w:t>
      </w:r>
      <w:r w:rsidRPr="00FC1A7F">
        <w:rPr>
          <w:lang w:val="es-ES"/>
        </w:rPr>
        <w:t xml:space="preserve">. </w:t>
      </w:r>
      <w:r w:rsidRPr="00C17C46">
        <w:rPr>
          <w:b/>
          <w:bCs/>
          <w:lang w:val="es-ES"/>
        </w:rPr>
        <w:t>L</w:t>
      </w:r>
      <w:r w:rsidRPr="00C17C46">
        <w:rPr>
          <w:b/>
          <w:bCs/>
          <w:lang w:val="es-ES"/>
        </w:rPr>
        <w:t>as emisiones de GE</w:t>
      </w:r>
      <w:r w:rsidRPr="00C17C46">
        <w:rPr>
          <w:b/>
          <w:bCs/>
          <w:lang w:val="es-ES"/>
        </w:rPr>
        <w:t>I</w:t>
      </w:r>
      <w:r w:rsidRPr="00FC1A7F">
        <w:rPr>
          <w:lang w:val="es-ES"/>
        </w:rPr>
        <w:t xml:space="preserve"> de origen agrario, si bien han caído en nada menos que un 21,9 por 100 entre 1990 y 2021, respecto al total de los GE</w:t>
      </w:r>
      <w:r>
        <w:rPr>
          <w:lang w:val="es-ES"/>
        </w:rPr>
        <w:t>I</w:t>
      </w:r>
      <w:r w:rsidRPr="00FC1A7F">
        <w:rPr>
          <w:lang w:val="es-ES"/>
        </w:rPr>
        <w:t xml:space="preserve"> de la UE han aumentado, pasando de representar un 9,8 por 100 en 1990 a registrar un 10,7 por 100 en 2021 (Eurostat, 2023b, p. 96),</w:t>
      </w:r>
      <w:r w:rsidR="002F39AA">
        <w:rPr>
          <w:lang w:val="es-ES"/>
        </w:rPr>
        <w:t xml:space="preserve"> </w:t>
      </w:r>
      <w:r w:rsidR="002F39AA" w:rsidRPr="002F39AA">
        <w:rPr>
          <w:lang w:val="es-ES"/>
        </w:rPr>
        <w:t xml:space="preserve">de lo que se desprende que </w:t>
      </w:r>
      <w:r w:rsidR="002F39AA" w:rsidRPr="002F39AA">
        <w:rPr>
          <w:b/>
          <w:bCs/>
          <w:lang w:val="es-ES"/>
        </w:rPr>
        <w:t>habrá que redoblar el empeño para reducirlos</w:t>
      </w:r>
      <w:r w:rsidR="002F39AA" w:rsidRPr="002F39AA">
        <w:rPr>
          <w:lang w:val="es-ES"/>
        </w:rPr>
        <w:t>, en especial los procedentes de la ganadería.</w:t>
      </w:r>
      <w:r w:rsidR="002F39AA" w:rsidRPr="002F39AA">
        <w:rPr>
          <w:lang w:val="es-ES"/>
        </w:rPr>
        <w:t xml:space="preserve"> </w:t>
      </w:r>
      <w:r w:rsidR="002F39AA">
        <w:rPr>
          <w:lang w:val="es-ES"/>
        </w:rPr>
        <w:t>(…)</w:t>
      </w:r>
    </w:p>
    <w:p w14:paraId="2B264BCC" w14:textId="0C2AB063" w:rsidR="003131A4" w:rsidRDefault="00FC1A7F" w:rsidP="003131A4">
      <w:pPr>
        <w:ind w:left="720" w:hanging="720"/>
        <w:rPr>
          <w:lang w:val="es-ES"/>
        </w:rPr>
      </w:pPr>
      <w:r w:rsidRPr="00FC1A7F">
        <w:rPr>
          <w:lang w:val="es-ES"/>
        </w:rPr>
        <w:t xml:space="preserve">6. </w:t>
      </w:r>
      <w:r w:rsidRPr="00C17C46">
        <w:rPr>
          <w:b/>
          <w:bCs/>
          <w:lang w:val="es-ES"/>
        </w:rPr>
        <w:t xml:space="preserve">La captura de </w:t>
      </w:r>
      <w:r w:rsidR="002F39AA" w:rsidRPr="00C17C46">
        <w:rPr>
          <w:b/>
          <w:bCs/>
          <w:lang w:val="es-ES"/>
        </w:rPr>
        <w:t>CO</w:t>
      </w:r>
      <w:r w:rsidR="002F39AA" w:rsidRPr="00C17C46">
        <w:rPr>
          <w:b/>
          <w:bCs/>
          <w:vertAlign w:val="subscript"/>
          <w:lang w:val="es-ES"/>
        </w:rPr>
        <w:t>2</w:t>
      </w:r>
      <w:r w:rsidRPr="00FC1A7F">
        <w:rPr>
          <w:lang w:val="es-ES"/>
        </w:rPr>
        <w:t xml:space="preserve"> por la agrosilvicultura en nada menos que 310 Mt constituye un ambicioso objetivo hoy por hoy difícil de estimar si se logrará pese a que las buenas prácticas del régimen de la condicionalidad deberían hacerse </w:t>
      </w:r>
      <w:proofErr w:type="gramStart"/>
      <w:r w:rsidRPr="00FC1A7F">
        <w:rPr>
          <w:lang w:val="es-ES"/>
        </w:rPr>
        <w:t>notar  que</w:t>
      </w:r>
      <w:proofErr w:type="gramEnd"/>
      <w:r w:rsidRPr="00FC1A7F">
        <w:rPr>
          <w:lang w:val="es-ES"/>
        </w:rPr>
        <w:t xml:space="preserve"> el 3 por 100 de la SAU total de la UE se beneficiará en principio de alguna medida de los PEN en favor de la retención del carbono en los suelos y el incremento de la biomasa</w:t>
      </w:r>
      <w:r w:rsidR="002F39AA">
        <w:rPr>
          <w:lang w:val="es-ES"/>
        </w:rPr>
        <w:t xml:space="preserve"> </w:t>
      </w:r>
      <w:r w:rsidR="002F39AA">
        <w:rPr>
          <w:lang w:val="es-ES"/>
        </w:rPr>
        <w:t>(…)</w:t>
      </w:r>
      <w:r w:rsidRPr="00FC1A7F">
        <w:rPr>
          <w:lang w:val="es-ES"/>
        </w:rPr>
        <w:t>.</w:t>
      </w:r>
    </w:p>
    <w:p w14:paraId="06ADC4F0" w14:textId="4E686DCC" w:rsidR="003131A4" w:rsidRDefault="002F39AA" w:rsidP="003131A4">
      <w:pPr>
        <w:ind w:left="720" w:hanging="720"/>
        <w:rPr>
          <w:lang w:val="es-ES"/>
        </w:rPr>
      </w:pPr>
      <w:r w:rsidRPr="002F39AA">
        <w:rPr>
          <w:lang w:val="es-ES"/>
        </w:rPr>
        <w:t xml:space="preserve">7. </w:t>
      </w:r>
      <w:r w:rsidRPr="00C17C46">
        <w:rPr>
          <w:b/>
          <w:bCs/>
          <w:lang w:val="es-ES"/>
        </w:rPr>
        <w:t>L</w:t>
      </w:r>
      <w:r w:rsidRPr="00C17C46">
        <w:rPr>
          <w:b/>
          <w:bCs/>
          <w:lang w:val="es-ES"/>
        </w:rPr>
        <w:t xml:space="preserve">a regeneración de al menos el </w:t>
      </w:r>
      <w:r w:rsidRPr="00C17C46">
        <w:rPr>
          <w:b/>
          <w:bCs/>
          <w:lang w:val="es-ES"/>
        </w:rPr>
        <w:t xml:space="preserve">30% </w:t>
      </w:r>
      <w:r w:rsidRPr="00C17C46">
        <w:rPr>
          <w:b/>
          <w:bCs/>
          <w:lang w:val="es-ES"/>
        </w:rPr>
        <w:t>de los ecosistemas más degradados</w:t>
      </w:r>
      <w:r w:rsidRPr="002F39AA">
        <w:rPr>
          <w:lang w:val="es-ES"/>
        </w:rPr>
        <w:t xml:space="preserve"> y la </w:t>
      </w:r>
      <w:r w:rsidRPr="00C17C46">
        <w:rPr>
          <w:b/>
          <w:bCs/>
          <w:lang w:val="es-ES"/>
        </w:rPr>
        <w:t xml:space="preserve">plantación </w:t>
      </w:r>
      <w:proofErr w:type="gramStart"/>
      <w:r w:rsidRPr="00C17C46">
        <w:rPr>
          <w:b/>
          <w:bCs/>
          <w:lang w:val="es-ES"/>
        </w:rPr>
        <w:t xml:space="preserve">de  </w:t>
      </w:r>
      <w:r w:rsidRPr="00C17C46">
        <w:rPr>
          <w:b/>
          <w:bCs/>
          <w:lang w:val="es-ES"/>
        </w:rPr>
        <w:t>3.000</w:t>
      </w:r>
      <w:proofErr w:type="gramEnd"/>
      <w:r w:rsidRPr="00C17C46">
        <w:rPr>
          <w:b/>
          <w:bCs/>
          <w:lang w:val="es-ES"/>
        </w:rPr>
        <w:t xml:space="preserve"> </w:t>
      </w:r>
      <w:r w:rsidRPr="00C17C46">
        <w:rPr>
          <w:b/>
          <w:bCs/>
          <w:lang w:val="es-ES"/>
        </w:rPr>
        <w:t>millones de árboles en el hori</w:t>
      </w:r>
      <w:r w:rsidRPr="00C17C46">
        <w:rPr>
          <w:b/>
          <w:bCs/>
          <w:lang w:val="es-ES"/>
        </w:rPr>
        <w:t>z</w:t>
      </w:r>
      <w:r w:rsidRPr="00C17C46">
        <w:rPr>
          <w:b/>
          <w:bCs/>
          <w:lang w:val="es-ES"/>
        </w:rPr>
        <w:t xml:space="preserve">onte </w:t>
      </w:r>
      <w:r w:rsidRPr="00C17C46">
        <w:rPr>
          <w:b/>
          <w:bCs/>
          <w:lang w:val="es-ES"/>
        </w:rPr>
        <w:t>2030</w:t>
      </w:r>
      <w:r w:rsidRPr="00C17C46">
        <w:rPr>
          <w:b/>
          <w:bCs/>
          <w:lang w:val="es-ES"/>
        </w:rPr>
        <w:t xml:space="preserve">, </w:t>
      </w:r>
      <w:r w:rsidRPr="002F39AA">
        <w:rPr>
          <w:lang w:val="es-ES"/>
        </w:rPr>
        <w:t xml:space="preserve">es un </w:t>
      </w:r>
      <w:r w:rsidRPr="00C17C46">
        <w:rPr>
          <w:color w:val="ED7D31" w:themeColor="accent2"/>
          <w:lang w:val="es-ES"/>
        </w:rPr>
        <w:t>objetivo difícil de conseguir</w:t>
      </w:r>
      <w:r w:rsidRPr="00C17C46">
        <w:rPr>
          <w:color w:val="ED7D31" w:themeColor="accent2"/>
          <w:lang w:val="es-ES"/>
        </w:rPr>
        <w:t xml:space="preserve"> </w:t>
      </w:r>
      <w:r>
        <w:rPr>
          <w:lang w:val="es-ES"/>
        </w:rPr>
        <w:t>(…)</w:t>
      </w:r>
    </w:p>
    <w:p w14:paraId="77FC7F65" w14:textId="43ED2FB5" w:rsidR="003131A4" w:rsidRDefault="002F39AA" w:rsidP="003131A4">
      <w:pPr>
        <w:ind w:left="720" w:hanging="720"/>
        <w:rPr>
          <w:lang w:val="es-ES"/>
        </w:rPr>
      </w:pPr>
      <w:r w:rsidRPr="002F39AA">
        <w:rPr>
          <w:lang w:val="es-ES"/>
        </w:rPr>
        <w:t>8. La protección e</w:t>
      </w:r>
      <w:r>
        <w:rPr>
          <w:lang w:val="es-ES"/>
        </w:rPr>
        <w:t>f</w:t>
      </w:r>
      <w:r w:rsidRPr="002F39AA">
        <w:rPr>
          <w:lang w:val="es-ES"/>
        </w:rPr>
        <w:t xml:space="preserve">ectiva de los ecosistemas y áreas de alto valor natural hasta un </w:t>
      </w:r>
      <w:r w:rsidR="00C17C46">
        <w:rPr>
          <w:lang w:val="es-ES"/>
        </w:rPr>
        <w:t xml:space="preserve">30 </w:t>
      </w:r>
      <w:r w:rsidRPr="002F39AA">
        <w:rPr>
          <w:lang w:val="es-ES"/>
        </w:rPr>
        <w:t>por de la super</w:t>
      </w:r>
      <w:r>
        <w:rPr>
          <w:lang w:val="es-ES"/>
        </w:rPr>
        <w:t>f</w:t>
      </w:r>
      <w:r w:rsidRPr="002F39AA">
        <w:rPr>
          <w:lang w:val="es-ES"/>
        </w:rPr>
        <w:t xml:space="preserve">icie terrestre. De acuerdo con los PEN aprobados, el 30,7 por 100 de la SAU está cubierta por alguna medida de conservación o restauración de la biodiversidad, fundamentalmente </w:t>
      </w:r>
      <w:r w:rsidRPr="002F39AA">
        <w:rPr>
          <w:b/>
          <w:bCs/>
          <w:i/>
          <w:iCs/>
          <w:lang w:val="es-ES"/>
        </w:rPr>
        <w:t>ecoesquemas</w:t>
      </w:r>
      <w:r w:rsidRPr="002F39AA">
        <w:rPr>
          <w:lang w:val="es-ES"/>
        </w:rPr>
        <w:t xml:space="preserve"> y </w:t>
      </w:r>
      <w:r w:rsidRPr="002F39AA">
        <w:rPr>
          <w:b/>
          <w:bCs/>
          <w:lang w:val="es-ES"/>
        </w:rPr>
        <w:t>pagos compensatorios del segundo pilar</w:t>
      </w:r>
      <w:r w:rsidRPr="002F39AA">
        <w:rPr>
          <w:lang w:val="es-ES"/>
        </w:rPr>
        <w:t xml:space="preserve"> en favor de las zonas Natura 2000 o las áreas con hándicaps naturales</w:t>
      </w:r>
      <w:r>
        <w:rPr>
          <w:lang w:val="es-ES"/>
        </w:rPr>
        <w:t>.</w:t>
      </w:r>
    </w:p>
    <w:p w14:paraId="673EAF66" w14:textId="77777777" w:rsidR="00C17C46" w:rsidRDefault="002F39AA" w:rsidP="003131A4">
      <w:pPr>
        <w:ind w:left="720" w:hanging="720"/>
        <w:rPr>
          <w:lang w:val="es-ES"/>
        </w:rPr>
      </w:pPr>
      <w:r w:rsidRPr="002F39AA">
        <w:rPr>
          <w:lang w:val="es-ES"/>
        </w:rPr>
        <w:lastRenderedPageBreak/>
        <w:t xml:space="preserve">En contraste, </w:t>
      </w:r>
      <w:r w:rsidRPr="002F39AA">
        <w:rPr>
          <w:b/>
          <w:bCs/>
          <w:color w:val="70AD47" w:themeColor="accent6"/>
          <w:lang w:val="es-ES"/>
        </w:rPr>
        <w:t>resaltan los buenos resultados registrados por los ejes «recursos naturales» y «climático»</w:t>
      </w:r>
      <w:r w:rsidRPr="002F39AA">
        <w:rPr>
          <w:lang w:val="es-ES"/>
        </w:rPr>
        <w:t xml:space="preserve">, que incluyen la adopción de cuatro de sus iniciativas estrella: </w:t>
      </w:r>
    </w:p>
    <w:p w14:paraId="15134C4F" w14:textId="77777777" w:rsidR="00C17C46" w:rsidRPr="00C17C46" w:rsidRDefault="002F39AA" w:rsidP="00C17C46">
      <w:pPr>
        <w:pStyle w:val="Prrafodelista"/>
        <w:numPr>
          <w:ilvl w:val="0"/>
          <w:numId w:val="10"/>
        </w:numPr>
        <w:rPr>
          <w:color w:val="70AD47" w:themeColor="accent6"/>
          <w:lang w:val="es-ES"/>
        </w:rPr>
      </w:pPr>
      <w:r w:rsidRPr="00C17C46">
        <w:rPr>
          <w:lang w:val="es-ES"/>
        </w:rPr>
        <w:t xml:space="preserve">la controvertida Ley de Restauración de la Naturaleza (a la espera de publicación), el Reglamento (UE) 2023/839 de reducción de emisiones agrícolas y silvícolas, </w:t>
      </w:r>
    </w:p>
    <w:p w14:paraId="18F86449" w14:textId="77777777" w:rsidR="00C17C46" w:rsidRPr="00C17C46" w:rsidRDefault="002F39AA" w:rsidP="00C17C46">
      <w:pPr>
        <w:pStyle w:val="Prrafodelista"/>
        <w:numPr>
          <w:ilvl w:val="0"/>
          <w:numId w:val="10"/>
        </w:numPr>
        <w:rPr>
          <w:color w:val="70AD47" w:themeColor="accent6"/>
          <w:lang w:val="es-ES"/>
        </w:rPr>
      </w:pPr>
      <w:r w:rsidRPr="00C17C46">
        <w:rPr>
          <w:lang w:val="es-ES"/>
        </w:rPr>
        <w:t>y las dos normativas que constituyen la clave de bóveda de la vertiente externa de la P</w:t>
      </w:r>
      <w:r w:rsidRPr="00C17C46">
        <w:rPr>
          <w:lang w:val="es-ES"/>
        </w:rPr>
        <w:t>AC 3.0</w:t>
      </w:r>
      <w:r w:rsidRPr="00C17C46">
        <w:rPr>
          <w:lang w:val="es-ES"/>
        </w:rPr>
        <w:t xml:space="preserve">. </w:t>
      </w:r>
    </w:p>
    <w:p w14:paraId="15F55789" w14:textId="77777777" w:rsidR="00C17C46" w:rsidRPr="00C17C46" w:rsidRDefault="002F39AA" w:rsidP="00C17C46">
      <w:pPr>
        <w:pStyle w:val="Prrafodelista"/>
        <w:numPr>
          <w:ilvl w:val="1"/>
          <w:numId w:val="10"/>
        </w:numPr>
        <w:rPr>
          <w:color w:val="70AD47" w:themeColor="accent6"/>
          <w:lang w:val="es-ES"/>
        </w:rPr>
      </w:pPr>
      <w:r w:rsidRPr="00C17C46">
        <w:rPr>
          <w:lang w:val="es-ES"/>
        </w:rPr>
        <w:t>La primera es el Regla</w:t>
      </w:r>
      <w:r w:rsidRPr="00C17C46">
        <w:rPr>
          <w:lang w:val="es-ES"/>
        </w:rPr>
        <w:t xml:space="preserve">mento </w:t>
      </w:r>
      <w:r w:rsidRPr="00C17C46">
        <w:rPr>
          <w:lang w:val="es-ES"/>
        </w:rPr>
        <w:t>2023</w:t>
      </w:r>
      <w:r w:rsidRPr="00C17C46">
        <w:rPr>
          <w:lang w:val="es-ES"/>
        </w:rPr>
        <w:t>/</w:t>
      </w:r>
      <w:r w:rsidRPr="00C17C46">
        <w:rPr>
          <w:lang w:val="es-ES"/>
        </w:rPr>
        <w:t>111</w:t>
      </w:r>
      <w:r w:rsidRPr="00C17C46">
        <w:rPr>
          <w:lang w:val="es-ES"/>
        </w:rPr>
        <w:t>5</w:t>
      </w:r>
      <w:r w:rsidRPr="00C17C46">
        <w:rPr>
          <w:lang w:val="es-ES"/>
        </w:rPr>
        <w:t xml:space="preserve"> sobre las </w:t>
      </w:r>
      <w:r w:rsidRPr="00C17C46">
        <w:rPr>
          <w:color w:val="70AD47" w:themeColor="accent6"/>
          <w:lang w:val="es-ES"/>
        </w:rPr>
        <w:t>condiciones exigibles a los intercambios de productos derivados de la desforestación</w:t>
      </w:r>
      <w:r w:rsidRPr="00C17C46">
        <w:rPr>
          <w:lang w:val="es-ES"/>
        </w:rPr>
        <w:t xml:space="preserve">, complementada por el </w:t>
      </w:r>
    </w:p>
    <w:p w14:paraId="19279036" w14:textId="1A10EA33" w:rsidR="002F39AA" w:rsidRPr="00C17C46" w:rsidRDefault="002F39AA" w:rsidP="00C17C46">
      <w:pPr>
        <w:pStyle w:val="Prrafodelista"/>
        <w:numPr>
          <w:ilvl w:val="1"/>
          <w:numId w:val="10"/>
        </w:numPr>
        <w:rPr>
          <w:color w:val="70AD47" w:themeColor="accent6"/>
          <w:lang w:val="es-ES"/>
        </w:rPr>
      </w:pPr>
      <w:r w:rsidRPr="00C17C46">
        <w:rPr>
          <w:lang w:val="es-ES"/>
        </w:rPr>
        <w:t xml:space="preserve">Reglamento (UE) 20239 relativo al </w:t>
      </w:r>
      <w:r w:rsidRPr="00C17C46">
        <w:rPr>
          <w:color w:val="70AD47" w:themeColor="accent6"/>
          <w:lang w:val="es-ES"/>
        </w:rPr>
        <w:t>mecanismo de a</w:t>
      </w:r>
      <w:r w:rsidRPr="00C17C46">
        <w:rPr>
          <w:color w:val="70AD47" w:themeColor="accent6"/>
          <w:lang w:val="es-ES"/>
        </w:rPr>
        <w:t>j</w:t>
      </w:r>
      <w:r w:rsidRPr="00C17C46">
        <w:rPr>
          <w:color w:val="70AD47" w:themeColor="accent6"/>
          <w:lang w:val="es-ES"/>
        </w:rPr>
        <w:t xml:space="preserve">uste en </w:t>
      </w:r>
      <w:r w:rsidRPr="00C17C46">
        <w:rPr>
          <w:color w:val="70AD47" w:themeColor="accent6"/>
          <w:lang w:val="es-ES"/>
        </w:rPr>
        <w:t>f</w:t>
      </w:r>
      <w:r w:rsidRPr="00C17C46">
        <w:rPr>
          <w:color w:val="70AD47" w:themeColor="accent6"/>
          <w:lang w:val="es-ES"/>
        </w:rPr>
        <w:t>rontera por emisiones de carbono.</w:t>
      </w:r>
    </w:p>
    <w:p w14:paraId="55C3C1EC" w14:textId="26864DE7" w:rsidR="00E86C83" w:rsidRPr="00E86C83" w:rsidRDefault="00E86C83" w:rsidP="003131A4">
      <w:pPr>
        <w:ind w:left="720" w:hanging="720"/>
        <w:rPr>
          <w:b/>
          <w:bCs/>
          <w:color w:val="000000" w:themeColor="text1"/>
          <w:lang w:val="es-ES"/>
        </w:rPr>
      </w:pPr>
      <w:r w:rsidRPr="00E86C83">
        <w:rPr>
          <w:b/>
          <w:bCs/>
          <w:color w:val="000000" w:themeColor="text1"/>
          <w:lang w:val="es-ES"/>
        </w:rPr>
        <w:t>VIII. CONCLUSIONES A LA ESPERA DE LA PAC 3.0 POST 2028</w:t>
      </w:r>
    </w:p>
    <w:p w14:paraId="2F792F9C" w14:textId="002BCE4F" w:rsidR="00E86C83" w:rsidRDefault="00E86C83" w:rsidP="003131A4">
      <w:pPr>
        <w:ind w:left="720" w:hanging="720"/>
        <w:rPr>
          <w:b/>
          <w:bCs/>
          <w:color w:val="000000" w:themeColor="text1"/>
          <w:lang w:val="es-ES"/>
        </w:rPr>
      </w:pPr>
      <w:r>
        <w:rPr>
          <w:color w:val="70AD47" w:themeColor="accent6"/>
          <w:lang w:val="es-ES"/>
        </w:rPr>
        <w:t xml:space="preserve">(…) </w:t>
      </w:r>
      <w:r w:rsidRPr="00E86C83">
        <w:rPr>
          <w:color w:val="000000" w:themeColor="text1"/>
          <w:lang w:val="es-ES"/>
        </w:rPr>
        <w:t>L</w:t>
      </w:r>
      <w:r w:rsidRPr="00E86C83">
        <w:rPr>
          <w:color w:val="000000" w:themeColor="text1"/>
          <w:lang w:val="es-ES"/>
        </w:rPr>
        <w:t>a P</w:t>
      </w:r>
      <w:r w:rsidRPr="00E86C83">
        <w:rPr>
          <w:color w:val="000000" w:themeColor="text1"/>
          <w:lang w:val="es-ES"/>
        </w:rPr>
        <w:t>AC</w:t>
      </w:r>
      <w:r w:rsidRPr="00E86C83">
        <w:rPr>
          <w:color w:val="000000" w:themeColor="text1"/>
          <w:lang w:val="es-ES"/>
        </w:rPr>
        <w:t xml:space="preserve"> post</w:t>
      </w:r>
      <w:r w:rsidRPr="00E86C83">
        <w:rPr>
          <w:color w:val="000000" w:themeColor="text1"/>
          <w:lang w:val="es-ES"/>
        </w:rPr>
        <w:t>-2028</w:t>
      </w:r>
      <w:r w:rsidRPr="00E86C83">
        <w:rPr>
          <w:color w:val="000000" w:themeColor="text1"/>
          <w:lang w:val="es-ES"/>
        </w:rPr>
        <w:t>, cuyas propuestas deberían en buena lógica ser presentadas en 202</w:t>
      </w:r>
      <w:r w:rsidR="00C17C46">
        <w:rPr>
          <w:color w:val="000000" w:themeColor="text1"/>
          <w:lang w:val="es-ES"/>
        </w:rPr>
        <w:t>7</w:t>
      </w:r>
      <w:r w:rsidRPr="00E86C83">
        <w:rPr>
          <w:color w:val="000000" w:themeColor="text1"/>
          <w:lang w:val="es-ES"/>
        </w:rPr>
        <w:t xml:space="preserve"> por el nuevo Colegio de Comisarios, tiene ante sí dos grandes retos:</w:t>
      </w:r>
      <w:r w:rsidRPr="00E86C83">
        <w:rPr>
          <w:b/>
          <w:bCs/>
          <w:color w:val="000000" w:themeColor="text1"/>
          <w:lang w:val="es-ES"/>
        </w:rPr>
        <w:t xml:space="preserve"> </w:t>
      </w:r>
    </w:p>
    <w:p w14:paraId="1675CC20" w14:textId="77777777" w:rsidR="00E86C83" w:rsidRDefault="00E86C83" w:rsidP="003131A4">
      <w:pPr>
        <w:ind w:left="720" w:hanging="720"/>
        <w:rPr>
          <w:color w:val="000000" w:themeColor="text1"/>
          <w:lang w:val="es-ES"/>
        </w:rPr>
      </w:pPr>
      <w:r w:rsidRPr="00E86C83">
        <w:rPr>
          <w:b/>
          <w:bCs/>
          <w:color w:val="000000" w:themeColor="text1"/>
          <w:lang w:val="es-ES"/>
        </w:rPr>
        <w:t xml:space="preserve">1. </w:t>
      </w:r>
      <w:r w:rsidRPr="00E86C83">
        <w:rPr>
          <w:color w:val="000000" w:themeColor="text1"/>
          <w:lang w:val="es-ES"/>
        </w:rPr>
        <w:t>E</w:t>
      </w:r>
      <w:r w:rsidRPr="00E86C83">
        <w:rPr>
          <w:color w:val="000000" w:themeColor="text1"/>
          <w:lang w:val="es-ES"/>
        </w:rPr>
        <w:t>l primero de ellos se refiere a</w:t>
      </w:r>
      <w:r w:rsidRPr="00E86C83">
        <w:rPr>
          <w:b/>
          <w:bCs/>
          <w:color w:val="000000" w:themeColor="text1"/>
          <w:lang w:val="es-ES"/>
        </w:rPr>
        <w:t xml:space="preserve"> cómo dará continuidad a su proceso de inserción dentro de la estrategia agroalimentaria </w:t>
      </w:r>
      <w:r w:rsidRPr="00E86C83">
        <w:rPr>
          <w:b/>
          <w:bCs/>
          <w:color w:val="000000" w:themeColor="text1"/>
          <w:lang w:val="es-ES"/>
        </w:rPr>
        <w:t>multinivel apuntad</w:t>
      </w:r>
      <w:r>
        <w:rPr>
          <w:b/>
          <w:bCs/>
          <w:color w:val="000000" w:themeColor="text1"/>
          <w:lang w:val="es-ES"/>
        </w:rPr>
        <w:t>a</w:t>
      </w:r>
      <w:r w:rsidRPr="00E86C83">
        <w:rPr>
          <w:b/>
          <w:bCs/>
          <w:color w:val="000000" w:themeColor="text1"/>
          <w:lang w:val="es-ES"/>
        </w:rPr>
        <w:t xml:space="preserve"> por el Pacto Verde. </w:t>
      </w:r>
      <w:r w:rsidRPr="00E86C83">
        <w:rPr>
          <w:color w:val="000000" w:themeColor="text1"/>
          <w:lang w:val="es-ES"/>
        </w:rPr>
        <w:t xml:space="preserve">Lo que equivale a dilucidar: </w:t>
      </w:r>
    </w:p>
    <w:p w14:paraId="4034A806" w14:textId="77777777" w:rsidR="00E86C83" w:rsidRDefault="00E86C83" w:rsidP="003131A4">
      <w:pPr>
        <w:ind w:left="720" w:hanging="720"/>
        <w:rPr>
          <w:color w:val="000000" w:themeColor="text1"/>
          <w:lang w:val="es-ES"/>
        </w:rPr>
      </w:pPr>
      <w:r w:rsidRPr="00E86C83">
        <w:rPr>
          <w:color w:val="000000" w:themeColor="text1"/>
          <w:lang w:val="es-ES"/>
        </w:rPr>
        <w:t xml:space="preserve">a) si se añadirán nuevas propuestas y se confirmarán o incrementarán los objetivos cuantificados existentes dentro de los textos reglamentarios agrarios a fin de asegurar la coherencia entre la PAC y el (nuevo) Pacto Verde; </w:t>
      </w:r>
    </w:p>
    <w:p w14:paraId="3A1693CF" w14:textId="77777777" w:rsidR="00E86C83" w:rsidRDefault="00E86C83" w:rsidP="003131A4">
      <w:pPr>
        <w:ind w:left="720" w:hanging="720"/>
        <w:rPr>
          <w:color w:val="000000" w:themeColor="text1"/>
          <w:lang w:val="es-ES"/>
        </w:rPr>
      </w:pPr>
      <w:r w:rsidRPr="00E86C83">
        <w:rPr>
          <w:color w:val="000000" w:themeColor="text1"/>
          <w:lang w:val="es-ES"/>
        </w:rPr>
        <w:t xml:space="preserve">b) </w:t>
      </w:r>
      <w:r w:rsidRPr="00E86C83">
        <w:rPr>
          <w:b/>
          <w:bCs/>
          <w:color w:val="000000" w:themeColor="text1"/>
          <w:lang w:val="es-ES"/>
        </w:rPr>
        <w:t>si</w:t>
      </w:r>
      <w:r w:rsidRPr="00E86C83">
        <w:rPr>
          <w:color w:val="000000" w:themeColor="text1"/>
          <w:lang w:val="es-ES"/>
        </w:rPr>
        <w:t xml:space="preserve"> serán subsanadas las </w:t>
      </w:r>
      <w:r w:rsidRPr="00C17C46">
        <w:rPr>
          <w:b/>
          <w:bCs/>
          <w:color w:val="000000" w:themeColor="text1"/>
          <w:lang w:val="es-ES"/>
        </w:rPr>
        <w:t xml:space="preserve">deficiencias </w:t>
      </w:r>
      <w:r w:rsidRPr="00E86C83">
        <w:rPr>
          <w:color w:val="000000" w:themeColor="text1"/>
          <w:lang w:val="es-ES"/>
        </w:rPr>
        <w:t xml:space="preserve">procedimentales y de plazos observadas en cuanto a la </w:t>
      </w:r>
      <w:r w:rsidRPr="00C17C46">
        <w:rPr>
          <w:b/>
          <w:bCs/>
          <w:color w:val="000000" w:themeColor="text1"/>
          <w:lang w:val="es-ES"/>
        </w:rPr>
        <w:t>implementación y evaluación de los planes estratégicos</w:t>
      </w:r>
      <w:r w:rsidRPr="00E86C83">
        <w:rPr>
          <w:color w:val="000000" w:themeColor="text1"/>
          <w:lang w:val="es-ES"/>
        </w:rPr>
        <w:t xml:space="preserve"> (García Azcárate, 2022); </w:t>
      </w:r>
    </w:p>
    <w:p w14:paraId="1B5F3451" w14:textId="2E66D56D" w:rsidR="00E86C83" w:rsidRDefault="00E86C83" w:rsidP="003131A4">
      <w:pPr>
        <w:ind w:left="720" w:hanging="720"/>
        <w:rPr>
          <w:color w:val="70AD47" w:themeColor="accent6"/>
          <w:lang w:val="es-ES"/>
        </w:rPr>
      </w:pPr>
      <w:r w:rsidRPr="00E86C83">
        <w:rPr>
          <w:color w:val="000000" w:themeColor="text1"/>
          <w:lang w:val="es-ES"/>
        </w:rPr>
        <w:t xml:space="preserve">c) </w:t>
      </w:r>
      <w:r w:rsidRPr="00E86C83">
        <w:rPr>
          <w:b/>
          <w:bCs/>
          <w:color w:val="000000" w:themeColor="text1"/>
          <w:lang w:val="es-ES"/>
        </w:rPr>
        <w:t>si</w:t>
      </w:r>
      <w:r w:rsidRPr="00E86C83">
        <w:rPr>
          <w:color w:val="000000" w:themeColor="text1"/>
          <w:lang w:val="es-ES"/>
        </w:rPr>
        <w:t xml:space="preserve"> el (renovado) Pacto Verde y, en concreto, su vertiente agroalimentaria, </w:t>
      </w:r>
      <w:r w:rsidRPr="00E86C83">
        <w:rPr>
          <w:b/>
          <w:bCs/>
          <w:color w:val="000000" w:themeColor="text1"/>
          <w:lang w:val="es-ES"/>
        </w:rPr>
        <w:t xml:space="preserve">tendrá su reflejo en los organigramas de las unidades responsables de su gestión </w:t>
      </w:r>
      <w:r w:rsidRPr="00E86C83">
        <w:rPr>
          <w:color w:val="000000" w:themeColor="text1"/>
          <w:lang w:val="es-ES"/>
        </w:rPr>
        <w:t xml:space="preserve">(en particular, las direcciones generales de la Comisión y las Comisiones legislativas del Parlamento Europeo); </w:t>
      </w:r>
      <w:r w:rsidRPr="00E86C83">
        <w:rPr>
          <w:color w:val="70AD47" w:themeColor="accent6"/>
          <w:lang w:val="es-ES"/>
        </w:rPr>
        <w:t xml:space="preserve">y </w:t>
      </w:r>
    </w:p>
    <w:p w14:paraId="2E89C776" w14:textId="77777777" w:rsidR="00E86C83" w:rsidRDefault="00E86C83" w:rsidP="003131A4">
      <w:pPr>
        <w:ind w:left="720" w:hanging="720"/>
        <w:rPr>
          <w:color w:val="000000" w:themeColor="text1"/>
          <w:lang w:val="es-ES"/>
        </w:rPr>
      </w:pPr>
      <w:r w:rsidRPr="00E86C83">
        <w:rPr>
          <w:color w:val="70AD47" w:themeColor="accent6"/>
          <w:lang w:val="es-ES"/>
        </w:rPr>
        <w:t xml:space="preserve">d) </w:t>
      </w:r>
      <w:r w:rsidRPr="00E86C83">
        <w:rPr>
          <w:b/>
          <w:bCs/>
          <w:color w:val="70AD47" w:themeColor="accent6"/>
          <w:lang w:val="es-ES"/>
        </w:rPr>
        <w:t>si</w:t>
      </w:r>
      <w:r w:rsidRPr="00E86C83">
        <w:rPr>
          <w:color w:val="70AD47" w:themeColor="accent6"/>
          <w:lang w:val="es-ES"/>
        </w:rPr>
        <w:t xml:space="preserve"> el nuevo marco supranacional para la agroalimentación tendrá el respaldo del multilateralismo medioambiental </w:t>
      </w:r>
      <w:r w:rsidRPr="00E86C83">
        <w:rPr>
          <w:color w:val="000000" w:themeColor="text1"/>
          <w:lang w:val="es-ES"/>
        </w:rPr>
        <w:t>(Conferencias climáticas y de la biodiversidad) y comercial (OMC) (Lamy et</w:t>
      </w:r>
      <w:r>
        <w:rPr>
          <w:color w:val="000000" w:themeColor="text1"/>
          <w:lang w:val="es-ES"/>
        </w:rPr>
        <w:t xml:space="preserve"> a</w:t>
      </w:r>
      <w:r w:rsidRPr="00E86C83">
        <w:rPr>
          <w:color w:val="000000" w:themeColor="text1"/>
          <w:lang w:val="es-ES"/>
        </w:rPr>
        <w:t xml:space="preserve">l., 2023). Sobre este último punto, hay que señalar que el margen de maniobra que la PAC tiene dentro de la Caja Ámbar permite una transición no traumática, pero habrá que encontrar nuevas bases legitimadoras del apoyo en el apartado ambiental de la Caja Verde y batirse por la vertiente externa del Pacto, con mecanismos de ajuste en frontera por el carbono, la protección del capital natural (desforestación, suelos, agua), el bienestar animal, la defensa de la salud pública  (antimicrobianos, residuos) y el respeto del derecho alimentario europeo en general. </w:t>
      </w:r>
    </w:p>
    <w:p w14:paraId="4EFB8BB9" w14:textId="7F4A1E92" w:rsidR="00E86C83" w:rsidRDefault="00E86C83" w:rsidP="003131A4">
      <w:pPr>
        <w:ind w:left="720" w:hanging="720"/>
        <w:rPr>
          <w:color w:val="000000" w:themeColor="text1"/>
          <w:lang w:val="es-ES"/>
        </w:rPr>
      </w:pPr>
      <w:r w:rsidRPr="00E86C83">
        <w:rPr>
          <w:b/>
          <w:bCs/>
          <w:color w:val="000000" w:themeColor="text1"/>
          <w:lang w:val="es-ES"/>
        </w:rPr>
        <w:t>2. El segundo gran desafío de la P</w:t>
      </w:r>
      <w:r w:rsidR="00C17C46">
        <w:rPr>
          <w:b/>
          <w:bCs/>
          <w:color w:val="000000" w:themeColor="text1"/>
          <w:lang w:val="es-ES"/>
        </w:rPr>
        <w:t>AC</w:t>
      </w:r>
      <w:r w:rsidRPr="00E86C83">
        <w:rPr>
          <w:b/>
          <w:bCs/>
          <w:color w:val="000000" w:themeColor="text1"/>
          <w:lang w:val="es-ES"/>
        </w:rPr>
        <w:t xml:space="preserve"> post</w:t>
      </w:r>
      <w:r w:rsidRPr="00E86C83">
        <w:rPr>
          <w:b/>
          <w:bCs/>
          <w:color w:val="000000" w:themeColor="text1"/>
          <w:lang w:val="es-ES"/>
        </w:rPr>
        <w:t>-2030</w:t>
      </w:r>
      <w:r w:rsidRPr="00E86C83">
        <w:rPr>
          <w:color w:val="000000" w:themeColor="text1"/>
          <w:lang w:val="es-ES"/>
        </w:rPr>
        <w:t xml:space="preserve"> es instrumental y requiere </w:t>
      </w:r>
      <w:r w:rsidRPr="00E86C83">
        <w:rPr>
          <w:b/>
          <w:bCs/>
          <w:color w:val="FF0000"/>
          <w:lang w:val="es-ES"/>
        </w:rPr>
        <w:t>decidir qué tipo de incentivos serán los más adecuados para acompañar a los agricultores durante la transición verde e impulsarlos al cumplimiento del Pacto Verde</w:t>
      </w:r>
      <w:r w:rsidRPr="00E86C83">
        <w:rPr>
          <w:color w:val="FF0000"/>
          <w:lang w:val="es-ES"/>
        </w:rPr>
        <w:t xml:space="preserve"> </w:t>
      </w:r>
      <w:r w:rsidRPr="00E86C83">
        <w:rPr>
          <w:color w:val="000000" w:themeColor="text1"/>
          <w:lang w:val="es-ES"/>
        </w:rPr>
        <w:t xml:space="preserve">(OECD, 2023b), y </w:t>
      </w:r>
      <w:r w:rsidRPr="00E86C83">
        <w:rPr>
          <w:color w:val="0070C0"/>
          <w:lang w:val="es-ES"/>
        </w:rPr>
        <w:t>si ha de reconvertir su modelo de pagos directos a las explotaciones en un sistema multifuncional de apoyo a los bienes y servicios públicos.</w:t>
      </w:r>
      <w:r w:rsidRPr="00E86C83">
        <w:rPr>
          <w:color w:val="000000" w:themeColor="text1"/>
          <w:lang w:val="es-ES"/>
        </w:rPr>
        <w:t xml:space="preserve"> Lo que implica terciar sobre: </w:t>
      </w:r>
    </w:p>
    <w:p w14:paraId="6B55D832" w14:textId="77777777" w:rsidR="00E86C83" w:rsidRDefault="00E86C83" w:rsidP="00E86C83">
      <w:pPr>
        <w:ind w:left="720"/>
        <w:rPr>
          <w:color w:val="000000" w:themeColor="text1"/>
          <w:lang w:val="es-ES"/>
        </w:rPr>
      </w:pPr>
      <w:r w:rsidRPr="00E86C83">
        <w:rPr>
          <w:color w:val="000000" w:themeColor="text1"/>
          <w:lang w:val="es-ES"/>
        </w:rPr>
        <w:lastRenderedPageBreak/>
        <w:t xml:space="preserve">a) qué bienes apoyar (agroambientales, climáticos, alimentarios, de salud pública, y/o de seguridad del suministro) y cómo compaginarlos entre sí y respecto a la viabilidad de las explotaciones; </w:t>
      </w:r>
    </w:p>
    <w:p w14:paraId="76D97EC2" w14:textId="15379E6E" w:rsidR="002F39AA" w:rsidRPr="00E86C83" w:rsidRDefault="00E86C83" w:rsidP="00E86C83">
      <w:pPr>
        <w:ind w:left="720"/>
        <w:rPr>
          <w:color w:val="000000" w:themeColor="text1"/>
          <w:lang w:val="es-ES"/>
        </w:rPr>
      </w:pPr>
      <w:r w:rsidRPr="00E86C83">
        <w:rPr>
          <w:color w:val="000000" w:themeColor="text1"/>
          <w:lang w:val="es-ES"/>
        </w:rPr>
        <w:t xml:space="preserve">b) a qué ritmo, asumiendo que el horizonte último de la reforma lo establecerá la adhesión de Ucrania, un evento que imposibilitará de facto mantener el vigente régimen de pagos a la hectárea al sumar nada menos que 41,3 millones de hectáreas de SAU (FAOSTAT 2023 a los 17,4 millones de la -27 urostat, 2023b, p. </w:t>
      </w:r>
      <w:r w:rsidR="008840A2">
        <w:rPr>
          <w:color w:val="000000" w:themeColor="text1"/>
          <w:lang w:val="es-ES"/>
        </w:rPr>
        <w:t>13)</w:t>
      </w:r>
    </w:p>
    <w:p w14:paraId="72D6CB8E" w14:textId="77777777" w:rsidR="008840A2" w:rsidRDefault="008840A2" w:rsidP="003131A4">
      <w:pPr>
        <w:ind w:left="720" w:hanging="720"/>
        <w:rPr>
          <w:color w:val="70AD47" w:themeColor="accent6"/>
          <w:lang w:val="es-ES"/>
        </w:rPr>
      </w:pPr>
      <w:r w:rsidRPr="008840A2">
        <w:rPr>
          <w:color w:val="70AD47" w:themeColor="accent6"/>
          <w:lang w:val="es-ES"/>
        </w:rPr>
        <w:t xml:space="preserve">c) qué criterios de selectividad utilizar respecto a los bienes públicos que provengan de las grandes explotaciones; </w:t>
      </w:r>
    </w:p>
    <w:p w14:paraId="1FD3ED4D" w14:textId="77777777" w:rsidR="008840A2" w:rsidRDefault="008840A2" w:rsidP="003131A4">
      <w:pPr>
        <w:ind w:left="720" w:hanging="720"/>
        <w:rPr>
          <w:color w:val="70AD47" w:themeColor="accent6"/>
          <w:lang w:val="es-ES"/>
        </w:rPr>
      </w:pPr>
      <w:r w:rsidRPr="008840A2">
        <w:rPr>
          <w:color w:val="70AD47" w:themeColor="accent6"/>
          <w:lang w:val="es-ES"/>
        </w:rPr>
        <w:t xml:space="preserve">d) qué presupuesto necesitará para cumplir con su multifuncionalidad (hoy a todas luces desfasado respecto a sus ambiciones) (García Azcárate, 2022) </w:t>
      </w:r>
      <w:r w:rsidRPr="008840A2">
        <w:rPr>
          <w:lang w:val="es-ES"/>
        </w:rPr>
        <w:t xml:space="preserve">y si podrá contar con recursos adicionales por el carbono, ya reconocido como un nuevo recurso propio de la Unión; y </w:t>
      </w:r>
    </w:p>
    <w:p w14:paraId="164E0B6F" w14:textId="77777777" w:rsidR="008840A2" w:rsidRDefault="008840A2" w:rsidP="003131A4">
      <w:pPr>
        <w:ind w:left="720" w:hanging="720"/>
        <w:rPr>
          <w:lang w:val="es-ES"/>
        </w:rPr>
      </w:pPr>
      <w:r w:rsidRPr="008840A2">
        <w:rPr>
          <w:color w:val="70AD47" w:themeColor="accent6"/>
          <w:lang w:val="es-ES"/>
        </w:rPr>
        <w:t>e) con qu</w:t>
      </w:r>
      <w:r>
        <w:rPr>
          <w:color w:val="70AD47" w:themeColor="accent6"/>
          <w:lang w:val="es-ES"/>
        </w:rPr>
        <w:t>é</w:t>
      </w:r>
      <w:r w:rsidRPr="008840A2">
        <w:rPr>
          <w:color w:val="70AD47" w:themeColor="accent6"/>
          <w:lang w:val="es-ES"/>
        </w:rPr>
        <w:t xml:space="preserve"> grado de cofinanciación en los pagos (si se fusionan los dos Fondos de la PAC). </w:t>
      </w:r>
      <w:r w:rsidRPr="008840A2">
        <w:rPr>
          <w:lang w:val="es-ES"/>
        </w:rPr>
        <w:t xml:space="preserve">Sobre los aspectos financieros, un reciente estudio ha planteado una profunda reasignación del presupuesto de pagos directos al final del MFP 2028-2034 (Baldock et al., 2023). Propone </w:t>
      </w:r>
      <w:r w:rsidRPr="008840A2">
        <w:rPr>
          <w:color w:val="70AD47" w:themeColor="accent6"/>
          <w:lang w:val="es-ES"/>
        </w:rPr>
        <w:t xml:space="preserve">crear un nuevo fondo de gestión sostenible de la tierra que incluiría partidas reforzadas para los pagos por bienes y servicios públicos ambientales, para las medidas de innovación, investigación, asesoramiento y formación en apoyo de modelos empresariales más sostenibles, y contaría además con ayudas específicas para sostener a los agricultores en su transición. </w:t>
      </w:r>
      <w:r w:rsidRPr="008840A2">
        <w:rPr>
          <w:b/>
          <w:bCs/>
          <w:lang w:val="es-ES"/>
        </w:rPr>
        <w:t>Se mantendría complementariamente un fondo de desarrollo rural de carácter socioeconómico y territorial.</w:t>
      </w:r>
      <w:r w:rsidRPr="008840A2">
        <w:rPr>
          <w:lang w:val="es-ES"/>
        </w:rPr>
        <w:t xml:space="preserve"> Nada se dice, por el contrario, sobre el papel de la PAC en el buen funcionamiento de los mercados agrarios y de insumos, olvidándose de los planes de contingencia y el Mecanismo Europeo de Preparación y Respuesta a las Crisis de Seguridad Alimentaria que la invasión de Ucrania obligó a crear. </w:t>
      </w:r>
      <w:r w:rsidRPr="008840A2">
        <w:rPr>
          <w:b/>
          <w:bCs/>
          <w:lang w:val="es-ES"/>
        </w:rPr>
        <w:t>La política de mercados incluye además cuestiones hoy por hoy mal resueltas como la aplicación de la política de competencia a la agricultura, el trato a la organización colectiva de</w:t>
      </w:r>
      <w:r w:rsidRPr="008840A2">
        <w:rPr>
          <w:b/>
          <w:bCs/>
          <w:lang w:val="es-ES"/>
        </w:rPr>
        <w:t xml:space="preserve"> </w:t>
      </w:r>
      <w:r w:rsidRPr="008840A2">
        <w:rPr>
          <w:b/>
          <w:bCs/>
          <w:lang w:val="es-ES"/>
        </w:rPr>
        <w:t>la producción, y el papel de los seguros agrarios y otros mecanismos de gestión del riesgo frente a la volatilidad.</w:t>
      </w:r>
      <w:r w:rsidRPr="008840A2">
        <w:rPr>
          <w:lang w:val="es-ES"/>
        </w:rPr>
        <w:t xml:space="preserve"> </w:t>
      </w:r>
    </w:p>
    <w:p w14:paraId="7F1A8F18" w14:textId="4B194EBB" w:rsidR="003131A4" w:rsidRDefault="008840A2" w:rsidP="003131A4">
      <w:pPr>
        <w:ind w:left="720" w:hanging="720"/>
        <w:rPr>
          <w:lang w:val="es-ES"/>
        </w:rPr>
      </w:pPr>
      <w:r w:rsidRPr="008840A2">
        <w:rPr>
          <w:lang w:val="es-ES"/>
        </w:rPr>
        <w:t xml:space="preserve">En cualquier caso, </w:t>
      </w:r>
      <w:r w:rsidRPr="008840A2">
        <w:rPr>
          <w:b/>
          <w:bCs/>
          <w:lang w:val="es-ES"/>
        </w:rPr>
        <w:t xml:space="preserve">parece insensato contraponer sostenibilidad y estabilización de las rentas agrarias como si fuesen dos variables del crecimiento agrario de suma cero. </w:t>
      </w:r>
      <w:r w:rsidRPr="008840A2">
        <w:rPr>
          <w:lang w:val="es-ES"/>
        </w:rPr>
        <w:t xml:space="preserve">Ante el alto grado de incertidumbre existente sobre cómo acompañar la transición de los sistemas alimentarios y, en última instancia, sobre qué acomodo estos pueden tener en la «Europa geopolítica» que la UE preconiza, la presidenta von der Leyen, en su discurso sobre el Estado de la Unión de septiembre de 2023, anunció el lanzamiento de un </w:t>
      </w:r>
      <w:r w:rsidRPr="008840A2">
        <w:rPr>
          <w:b/>
          <w:bCs/>
          <w:lang w:val="es-ES"/>
        </w:rPr>
        <w:t>«diálogo estratégico» sobre el futuro de la agricultura para 2024.</w:t>
      </w:r>
      <w:r w:rsidRPr="008840A2">
        <w:rPr>
          <w:lang w:val="es-ES"/>
        </w:rPr>
        <w:t xml:space="preserve"> Actualmente en curso, sería deseable que su informe final, previsto para septiembre de 2024, aportara las suficientes propuestas prácticas para reorientar la PAC en el marco interinstitucional de un Pacto Verde renovado.</w:t>
      </w:r>
    </w:p>
    <w:p w14:paraId="7DA52061" w14:textId="51F00772" w:rsidR="003131A4" w:rsidRDefault="008840A2" w:rsidP="003131A4">
      <w:pPr>
        <w:ind w:left="720" w:hanging="720"/>
        <w:rPr>
          <w:lang w:val="es-ES"/>
        </w:rPr>
      </w:pPr>
      <w:r>
        <w:rPr>
          <w:lang w:val="es-ES"/>
        </w:rPr>
        <w:lastRenderedPageBreak/>
        <w:t xml:space="preserve">Nota: esto es resumen para fines académicos, véase el artículo completo en MASSOT </w:t>
      </w:r>
      <w:r w:rsidRPr="008840A2">
        <w:rPr>
          <w:rFonts w:ascii="Arial" w:hAnsi="Arial" w:cs="Arial"/>
          <w:color w:val="222222"/>
          <w:sz w:val="20"/>
          <w:szCs w:val="20"/>
          <w:shd w:val="clear" w:color="auto" w:fill="FFFFFF"/>
          <w:lang w:val="es-ES"/>
        </w:rPr>
        <w:t>MARTÍ, A</w:t>
      </w:r>
      <w:r w:rsidR="004B41D6">
        <w:rPr>
          <w:rFonts w:ascii="Arial" w:hAnsi="Arial" w:cs="Arial"/>
          <w:color w:val="222222"/>
          <w:sz w:val="20"/>
          <w:szCs w:val="20"/>
          <w:shd w:val="clear" w:color="auto" w:fill="FFFFFF"/>
          <w:lang w:val="es-ES"/>
        </w:rPr>
        <w:t>lbert</w:t>
      </w:r>
      <w:r w:rsidRPr="008840A2">
        <w:rPr>
          <w:rFonts w:ascii="Arial" w:hAnsi="Arial" w:cs="Arial"/>
          <w:color w:val="222222"/>
          <w:sz w:val="20"/>
          <w:szCs w:val="20"/>
          <w:shd w:val="clear" w:color="auto" w:fill="FFFFFF"/>
          <w:lang w:val="es-ES"/>
        </w:rPr>
        <w:t xml:space="preserve"> (2024). ¿Puede convertirse la Política Agrícola Común (PAC) en la política alimentaria de la Unión </w:t>
      </w:r>
      <w:proofErr w:type="gramStart"/>
      <w:r w:rsidRPr="008840A2">
        <w:rPr>
          <w:rFonts w:ascii="Arial" w:hAnsi="Arial" w:cs="Arial"/>
          <w:color w:val="222222"/>
          <w:sz w:val="20"/>
          <w:szCs w:val="20"/>
          <w:shd w:val="clear" w:color="auto" w:fill="FFFFFF"/>
          <w:lang w:val="es-ES"/>
        </w:rPr>
        <w:t>Europea?.</w:t>
      </w:r>
      <w:proofErr w:type="gramEnd"/>
      <w:r w:rsidRPr="008840A2">
        <w:rPr>
          <w:rFonts w:ascii="Arial" w:hAnsi="Arial" w:cs="Arial"/>
          <w:color w:val="222222"/>
          <w:sz w:val="20"/>
          <w:szCs w:val="20"/>
          <w:shd w:val="clear" w:color="auto" w:fill="FFFFFF"/>
          <w:lang w:val="es-ES"/>
        </w:rPr>
        <w:t> </w:t>
      </w:r>
      <w:r w:rsidRPr="004B41D6">
        <w:rPr>
          <w:rFonts w:ascii="Arial" w:hAnsi="Arial" w:cs="Arial"/>
          <w:i/>
          <w:iCs/>
          <w:color w:val="222222"/>
          <w:sz w:val="20"/>
          <w:szCs w:val="20"/>
          <w:shd w:val="clear" w:color="auto" w:fill="FFFFFF"/>
          <w:lang w:val="es-ES"/>
        </w:rPr>
        <w:t>Papeles de Economía Española</w:t>
      </w:r>
      <w:r w:rsidRPr="004B41D6">
        <w:rPr>
          <w:rFonts w:ascii="Arial" w:hAnsi="Arial" w:cs="Arial"/>
          <w:color w:val="222222"/>
          <w:sz w:val="20"/>
          <w:szCs w:val="20"/>
          <w:shd w:val="clear" w:color="auto" w:fill="FFFFFF"/>
          <w:lang w:val="es-ES"/>
        </w:rPr>
        <w:t>, (179), 21-38.</w:t>
      </w:r>
    </w:p>
    <w:p w14:paraId="7944CB2C" w14:textId="5F334DD2" w:rsidR="003131A4" w:rsidRDefault="003131A4" w:rsidP="003131A4">
      <w:pPr>
        <w:ind w:left="720" w:hanging="720"/>
        <w:rPr>
          <w:lang w:val="es-ES"/>
        </w:rPr>
      </w:pPr>
    </w:p>
    <w:p w14:paraId="4E3D4E6D" w14:textId="20F67CF9" w:rsidR="003131A4" w:rsidRDefault="003131A4" w:rsidP="003131A4">
      <w:pPr>
        <w:ind w:left="720" w:hanging="720"/>
        <w:rPr>
          <w:lang w:val="es-ES"/>
        </w:rPr>
      </w:pPr>
    </w:p>
    <w:p w14:paraId="2B2519FA" w14:textId="4962442B" w:rsidR="003131A4" w:rsidRDefault="003131A4" w:rsidP="003131A4">
      <w:pPr>
        <w:ind w:left="720" w:hanging="720"/>
        <w:rPr>
          <w:lang w:val="es-ES"/>
        </w:rPr>
      </w:pPr>
    </w:p>
    <w:p w14:paraId="59DDEFE0" w14:textId="32483E71" w:rsidR="003131A4" w:rsidRDefault="003131A4" w:rsidP="003131A4">
      <w:pPr>
        <w:ind w:left="720" w:hanging="720"/>
        <w:rPr>
          <w:lang w:val="es-ES"/>
        </w:rPr>
      </w:pPr>
    </w:p>
    <w:p w14:paraId="18903544" w14:textId="6F583EBA" w:rsidR="003131A4" w:rsidRDefault="003131A4" w:rsidP="003131A4">
      <w:pPr>
        <w:ind w:left="720" w:hanging="720"/>
        <w:rPr>
          <w:lang w:val="es-ES"/>
        </w:rPr>
      </w:pPr>
    </w:p>
    <w:p w14:paraId="276B5B49" w14:textId="5C99C0C8" w:rsidR="003131A4" w:rsidRDefault="003131A4" w:rsidP="003131A4">
      <w:pPr>
        <w:ind w:left="720" w:hanging="720"/>
        <w:rPr>
          <w:lang w:val="es-ES"/>
        </w:rPr>
      </w:pPr>
    </w:p>
    <w:p w14:paraId="11859A84" w14:textId="4D8575F8" w:rsidR="003131A4" w:rsidRDefault="003131A4" w:rsidP="003131A4">
      <w:pPr>
        <w:ind w:left="720" w:hanging="720"/>
        <w:rPr>
          <w:lang w:val="es-ES"/>
        </w:rPr>
      </w:pPr>
    </w:p>
    <w:p w14:paraId="140B97E5" w14:textId="1BCED5C7" w:rsidR="003131A4" w:rsidRDefault="003131A4" w:rsidP="003131A4">
      <w:pPr>
        <w:ind w:left="720" w:hanging="720"/>
        <w:rPr>
          <w:lang w:val="es-ES"/>
        </w:rPr>
      </w:pPr>
    </w:p>
    <w:p w14:paraId="68EC05DD" w14:textId="41A9CF91" w:rsidR="003131A4" w:rsidRDefault="003131A4" w:rsidP="003131A4">
      <w:pPr>
        <w:ind w:left="720" w:hanging="720"/>
        <w:rPr>
          <w:lang w:val="es-ES"/>
        </w:rPr>
      </w:pPr>
    </w:p>
    <w:p w14:paraId="2A8CD72D" w14:textId="7827A998" w:rsidR="003131A4" w:rsidRDefault="003131A4" w:rsidP="003131A4">
      <w:pPr>
        <w:ind w:left="720" w:hanging="720"/>
        <w:rPr>
          <w:lang w:val="es-ES"/>
        </w:rPr>
      </w:pPr>
    </w:p>
    <w:p w14:paraId="24A21AAA" w14:textId="79E5BBB4" w:rsidR="003131A4" w:rsidRDefault="003131A4" w:rsidP="003131A4">
      <w:pPr>
        <w:ind w:left="720" w:hanging="720"/>
        <w:rPr>
          <w:lang w:val="es-ES"/>
        </w:rPr>
      </w:pPr>
    </w:p>
    <w:p w14:paraId="7D5EE152" w14:textId="3BF70D96" w:rsidR="003131A4" w:rsidRDefault="003131A4" w:rsidP="003131A4">
      <w:pPr>
        <w:ind w:left="720" w:hanging="720"/>
        <w:rPr>
          <w:lang w:val="es-ES"/>
        </w:rPr>
      </w:pPr>
    </w:p>
    <w:p w14:paraId="0FD104A5" w14:textId="60ABD68D" w:rsidR="003131A4" w:rsidRDefault="003131A4" w:rsidP="003131A4">
      <w:pPr>
        <w:ind w:left="720" w:hanging="720"/>
        <w:rPr>
          <w:lang w:val="es-ES"/>
        </w:rPr>
      </w:pPr>
    </w:p>
    <w:p w14:paraId="3B52CA4C" w14:textId="72278EBD" w:rsidR="003131A4" w:rsidRDefault="003131A4" w:rsidP="003131A4">
      <w:pPr>
        <w:ind w:left="720" w:hanging="720"/>
        <w:rPr>
          <w:lang w:val="es-ES"/>
        </w:rPr>
      </w:pPr>
    </w:p>
    <w:p w14:paraId="729BCD49" w14:textId="5E1F679F" w:rsidR="003131A4" w:rsidRDefault="003131A4" w:rsidP="003131A4">
      <w:pPr>
        <w:ind w:left="720" w:hanging="720"/>
        <w:rPr>
          <w:lang w:val="es-ES"/>
        </w:rPr>
      </w:pPr>
    </w:p>
    <w:p w14:paraId="75D73392" w14:textId="5BE26F0F" w:rsidR="003131A4" w:rsidRDefault="003131A4" w:rsidP="003131A4">
      <w:pPr>
        <w:ind w:left="720" w:hanging="720"/>
        <w:rPr>
          <w:lang w:val="es-ES"/>
        </w:rPr>
      </w:pPr>
    </w:p>
    <w:p w14:paraId="18CB7894" w14:textId="50DD8F58" w:rsidR="003131A4" w:rsidRDefault="003131A4" w:rsidP="003131A4">
      <w:pPr>
        <w:ind w:left="720" w:hanging="720"/>
        <w:rPr>
          <w:lang w:val="es-ES"/>
        </w:rPr>
      </w:pPr>
    </w:p>
    <w:p w14:paraId="5ED10B0B" w14:textId="14A18A4D" w:rsidR="003131A4" w:rsidRDefault="003131A4" w:rsidP="003131A4">
      <w:pPr>
        <w:ind w:left="720" w:hanging="720"/>
        <w:rPr>
          <w:lang w:val="es-ES"/>
        </w:rPr>
      </w:pPr>
    </w:p>
    <w:p w14:paraId="144375A1" w14:textId="7B046A2A" w:rsidR="003131A4" w:rsidRDefault="003131A4" w:rsidP="003131A4">
      <w:pPr>
        <w:ind w:left="720" w:hanging="720"/>
        <w:rPr>
          <w:lang w:val="es-ES"/>
        </w:rPr>
      </w:pPr>
    </w:p>
    <w:p w14:paraId="7369D4CD" w14:textId="3E15ACF1" w:rsidR="003131A4" w:rsidRDefault="003131A4" w:rsidP="003131A4">
      <w:pPr>
        <w:ind w:left="720" w:hanging="720"/>
        <w:rPr>
          <w:lang w:val="es-ES"/>
        </w:rPr>
      </w:pPr>
    </w:p>
    <w:p w14:paraId="609865C0" w14:textId="51846C89" w:rsidR="003131A4" w:rsidRDefault="003131A4" w:rsidP="003131A4">
      <w:pPr>
        <w:ind w:left="720" w:hanging="720"/>
        <w:rPr>
          <w:lang w:val="es-ES"/>
        </w:rPr>
      </w:pPr>
    </w:p>
    <w:p w14:paraId="6044B24A" w14:textId="467897A6" w:rsidR="003131A4" w:rsidRDefault="003131A4" w:rsidP="003131A4">
      <w:pPr>
        <w:ind w:left="720" w:hanging="720"/>
        <w:rPr>
          <w:lang w:val="es-ES"/>
        </w:rPr>
      </w:pPr>
    </w:p>
    <w:p w14:paraId="1B5EA22F" w14:textId="1880A79D" w:rsidR="003131A4" w:rsidRDefault="003131A4" w:rsidP="003131A4">
      <w:pPr>
        <w:ind w:left="720" w:hanging="720"/>
        <w:rPr>
          <w:lang w:val="es-ES"/>
        </w:rPr>
      </w:pPr>
    </w:p>
    <w:p w14:paraId="1AAAF0E7" w14:textId="2AE8909B" w:rsidR="003131A4" w:rsidRDefault="003131A4" w:rsidP="003131A4">
      <w:pPr>
        <w:ind w:left="720" w:hanging="720"/>
        <w:rPr>
          <w:lang w:val="es-ES"/>
        </w:rPr>
      </w:pPr>
    </w:p>
    <w:p w14:paraId="3700571C" w14:textId="231AADFB" w:rsidR="003131A4" w:rsidRDefault="003131A4" w:rsidP="003131A4">
      <w:pPr>
        <w:ind w:left="720" w:hanging="720"/>
        <w:rPr>
          <w:lang w:val="es-ES"/>
        </w:rPr>
      </w:pPr>
    </w:p>
    <w:p w14:paraId="519143BC" w14:textId="35DB9F80" w:rsidR="003131A4" w:rsidRPr="00DE4BCC" w:rsidRDefault="003131A4" w:rsidP="003131A4">
      <w:pPr>
        <w:ind w:left="720" w:hanging="720"/>
        <w:rPr>
          <w:color w:val="0070C0"/>
          <w:lang w:val="es-ES"/>
        </w:rPr>
      </w:pPr>
      <w:r>
        <w:rPr>
          <w:lang w:val="es-ES"/>
        </w:rPr>
        <w:t>8…</w:t>
      </w:r>
    </w:p>
    <w:sectPr w:rsidR="003131A4" w:rsidRPr="00DE4BCC">
      <w:headerReference w:type="default" r:id="rId16"/>
      <w:footerReference w:type="defaul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0D5F7" w14:textId="77777777" w:rsidR="00EC2F99" w:rsidRDefault="00EC2F99" w:rsidP="003F1541">
      <w:pPr>
        <w:spacing w:after="0" w:line="240" w:lineRule="auto"/>
      </w:pPr>
      <w:r>
        <w:separator/>
      </w:r>
    </w:p>
  </w:endnote>
  <w:endnote w:type="continuationSeparator" w:id="0">
    <w:p w14:paraId="587101A6" w14:textId="77777777" w:rsidR="00EC2F99" w:rsidRDefault="00EC2F99" w:rsidP="003F1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5112539"/>
      <w:docPartObj>
        <w:docPartGallery w:val="Page Numbers (Bottom of Page)"/>
        <w:docPartUnique/>
      </w:docPartObj>
    </w:sdtPr>
    <w:sdtEndPr/>
    <w:sdtContent>
      <w:p w14:paraId="50D03C48" w14:textId="77777777" w:rsidR="00120701" w:rsidRDefault="00120701">
        <w:pPr>
          <w:pStyle w:val="Piedepgina"/>
          <w:jc w:val="right"/>
        </w:pPr>
        <w:r>
          <w:fldChar w:fldCharType="begin"/>
        </w:r>
        <w:r>
          <w:instrText>PAGE   \* MERGEFORMAT</w:instrText>
        </w:r>
        <w:r>
          <w:fldChar w:fldCharType="separate"/>
        </w:r>
        <w:r w:rsidR="001546EB" w:rsidRPr="001546EB">
          <w:rPr>
            <w:noProof/>
            <w:lang w:val="es-ES"/>
          </w:rPr>
          <w:t>16</w:t>
        </w:r>
        <w:r>
          <w:fldChar w:fldCharType="end"/>
        </w:r>
      </w:p>
    </w:sdtContent>
  </w:sdt>
  <w:p w14:paraId="5FA581E7" w14:textId="77777777" w:rsidR="00120701" w:rsidRDefault="001207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E736A" w14:textId="77777777" w:rsidR="00EC2F99" w:rsidRDefault="00EC2F99" w:rsidP="003F1541">
      <w:pPr>
        <w:spacing w:after="0" w:line="240" w:lineRule="auto"/>
      </w:pPr>
      <w:r>
        <w:separator/>
      </w:r>
    </w:p>
  </w:footnote>
  <w:footnote w:type="continuationSeparator" w:id="0">
    <w:p w14:paraId="6268BDF8" w14:textId="77777777" w:rsidR="00EC2F99" w:rsidRDefault="00EC2F99" w:rsidP="003F1541">
      <w:pPr>
        <w:spacing w:after="0" w:line="240" w:lineRule="auto"/>
      </w:pPr>
      <w:r>
        <w:continuationSeparator/>
      </w:r>
    </w:p>
  </w:footnote>
  <w:footnote w:id="1">
    <w:p w14:paraId="4B53840B" w14:textId="77777777" w:rsidR="00120701" w:rsidRPr="003F1541" w:rsidRDefault="00120701" w:rsidP="003F1541">
      <w:pPr>
        <w:rPr>
          <w:lang w:val="es-ES"/>
        </w:rPr>
      </w:pPr>
      <w:r>
        <w:rPr>
          <w:rStyle w:val="Refdenotaalpie"/>
        </w:rPr>
        <w:footnoteRef/>
      </w:r>
      <w:r w:rsidRPr="003F1541">
        <w:rPr>
          <w:lang w:val="es-ES"/>
        </w:rPr>
        <w:t xml:space="preserve"> Comisión 2021. La política agrícola común en pocas palabras</w:t>
      </w:r>
      <w:r>
        <w:rPr>
          <w:lang w:val="es-ES"/>
        </w:rPr>
        <w:t xml:space="preserve">. </w:t>
      </w:r>
      <w:r w:rsidRPr="003F1541">
        <w:rPr>
          <w:lang w:val="es-ES"/>
        </w:rPr>
        <w:t>https://ec.europa.eu/info/food-farming-fisheries/key-policies/common-ag</w:t>
      </w:r>
      <w:r>
        <w:rPr>
          <w:lang w:val="es-ES"/>
        </w:rPr>
        <w:t>ricultural-policy/cap-glance_es.</w:t>
      </w:r>
    </w:p>
    <w:p w14:paraId="5DFD6812" w14:textId="77777777" w:rsidR="00120701" w:rsidRPr="003F1541" w:rsidRDefault="00120701">
      <w:pPr>
        <w:pStyle w:val="Textonotapie"/>
        <w:rPr>
          <w:lang w:val="es-ES"/>
        </w:rPr>
      </w:pPr>
    </w:p>
  </w:footnote>
  <w:footnote w:id="2">
    <w:p w14:paraId="5D8E5EB7" w14:textId="77777777" w:rsidR="00120701" w:rsidRPr="005F691A" w:rsidRDefault="00120701">
      <w:pPr>
        <w:pStyle w:val="Textonotapie"/>
        <w:rPr>
          <w:lang w:val="en-US"/>
        </w:rPr>
      </w:pPr>
      <w:r>
        <w:rPr>
          <w:rStyle w:val="Refdenotaalpie"/>
        </w:rPr>
        <w:footnoteRef/>
      </w:r>
      <w:r>
        <w:t xml:space="preserve"> </w:t>
      </w:r>
      <w:hyperlink r:id="rId1" w:anchor="section-d1e53200" w:history="1">
        <w:r>
          <w:rPr>
            <w:rStyle w:val="Hipervnculo"/>
            <w:rFonts w:ascii="Georgia" w:hAnsi="Georgia"/>
            <w:color w:val="5DA7C5"/>
            <w:sz w:val="18"/>
            <w:szCs w:val="18"/>
            <w:shd w:val="clear" w:color="auto" w:fill="FFFFFF"/>
          </w:rPr>
          <w:t>Labor</w:t>
        </w:r>
      </w:hyperlink>
      <w:r>
        <w:rPr>
          <w:rFonts w:ascii="Georgia" w:hAnsi="Georgia"/>
          <w:color w:val="000000"/>
          <w:sz w:val="18"/>
          <w:szCs w:val="18"/>
          <w:shd w:val="clear" w:color="auto" w:fill="FFFFFF"/>
        </w:rPr>
        <w:t>. OCDE, 2021</w:t>
      </w:r>
    </w:p>
  </w:footnote>
  <w:footnote w:id="3">
    <w:p w14:paraId="39D48D10" w14:textId="77777777" w:rsidR="00120701" w:rsidRPr="005F691A" w:rsidRDefault="00120701">
      <w:pPr>
        <w:pStyle w:val="Textonotapie"/>
        <w:rPr>
          <w:lang w:val="es-ES"/>
        </w:rPr>
      </w:pPr>
      <w:r>
        <w:rPr>
          <w:rStyle w:val="Refdenotaalpie"/>
        </w:rPr>
        <w:footnoteRef/>
      </w:r>
      <w:r>
        <w:t xml:space="preserve"> </w:t>
      </w:r>
      <w:hyperlink r:id="rId2" w:anchor="section-d1e53267" w:history="1">
        <w:r>
          <w:rPr>
            <w:rStyle w:val="Hipervnculo"/>
            <w:rFonts w:ascii="Georgia" w:hAnsi="Georgia"/>
            <w:color w:val="5DA7C5"/>
            <w:sz w:val="18"/>
            <w:szCs w:val="18"/>
            <w:shd w:val="clear" w:color="auto" w:fill="FFFFFF"/>
          </w:rPr>
          <w:t>Functioning of food supply chains.</w:t>
        </w:r>
      </w:hyperlink>
      <w:r>
        <w:t xml:space="preserve"> </w:t>
      </w:r>
      <w:r w:rsidRPr="005F691A">
        <w:rPr>
          <w:rFonts w:ascii="Georgia" w:hAnsi="Georgia"/>
          <w:color w:val="000000"/>
          <w:sz w:val="18"/>
          <w:szCs w:val="18"/>
          <w:shd w:val="clear" w:color="auto" w:fill="FFFFFF"/>
          <w:lang w:val="es-ES"/>
        </w:rPr>
        <w:t>OCDE, 2021</w:t>
      </w:r>
    </w:p>
  </w:footnote>
  <w:footnote w:id="4">
    <w:p w14:paraId="2A347EF2" w14:textId="77777777" w:rsidR="00D27D00" w:rsidRPr="00D27D00" w:rsidRDefault="00D27D00">
      <w:pPr>
        <w:pStyle w:val="Textonotapie"/>
        <w:rPr>
          <w:lang w:val="es-ES"/>
        </w:rPr>
      </w:pPr>
      <w:r>
        <w:rPr>
          <w:rStyle w:val="Refdenotaalpie"/>
        </w:rPr>
        <w:footnoteRef/>
      </w:r>
      <w:r w:rsidRPr="005F691A">
        <w:rPr>
          <w:lang w:val="es-ES"/>
        </w:rPr>
        <w:t xml:space="preserve"> La Estimación de apoyo al productor (PSE) es un indicador del valor monetario anual de las transferencias brutas de consumidores y contribuyentes para apoyar a los productores agrícolas, medido a nivel de explotación, que surgen de distintas medidas políticas, independientemente de su naturaleza, objetivos o impactos en la producción o renta agraria.</w:t>
      </w:r>
    </w:p>
  </w:footnote>
  <w:footnote w:id="5">
    <w:p w14:paraId="3AF6E57A" w14:textId="77777777" w:rsidR="00D27D00" w:rsidRPr="00D27D00" w:rsidRDefault="00D27D00">
      <w:pPr>
        <w:pStyle w:val="Textonotapie"/>
        <w:rPr>
          <w:lang w:val="es-ES"/>
        </w:rPr>
      </w:pPr>
      <w:r>
        <w:rPr>
          <w:rStyle w:val="Refdenotaalpie"/>
        </w:rPr>
        <w:footnoteRef/>
      </w:r>
      <w:r w:rsidRPr="005F691A">
        <w:rPr>
          <w:lang w:val="es-ES"/>
        </w:rPr>
        <w:t xml:space="preserve"> </w:t>
      </w:r>
      <w:r>
        <w:rPr>
          <w:lang w:val="es-ES"/>
        </w:rPr>
        <w:t xml:space="preserve">En la terminología de la OCDE </w:t>
      </w:r>
      <w:r>
        <w:rPr>
          <w:i/>
          <w:lang w:val="es-ES"/>
        </w:rPr>
        <w:t>Producer NPC</w:t>
      </w:r>
      <w:r>
        <w:rPr>
          <w:lang w:val="es-ES"/>
        </w:rPr>
        <w:t xml:space="preserve"> significa la relación entre el precio percibido por el agricultor y el precio en frontera. Por </w:t>
      </w:r>
      <w:proofErr w:type="gramStart"/>
      <w:r>
        <w:rPr>
          <w:lang w:val="es-ES"/>
        </w:rPr>
        <w:t>tanto</w:t>
      </w:r>
      <w:proofErr w:type="gramEnd"/>
      <w:r>
        <w:rPr>
          <w:lang w:val="es-ES"/>
        </w:rPr>
        <w:t xml:space="preserve"> si es mayor de uno da el porcentaje de protección al productor agrario</w:t>
      </w:r>
      <w:r w:rsidR="002D555A">
        <w:rPr>
          <w:lang w:val="es-ES"/>
        </w:rPr>
        <w:t xml:space="preserve"> </w:t>
      </w:r>
      <w:r w:rsidR="002D555A" w:rsidRPr="005F691A">
        <w:rPr>
          <w:lang w:val="es-ES"/>
        </w:rPr>
        <w:t>(OCDE, 2021)</w:t>
      </w:r>
      <w:r>
        <w:rPr>
          <w:lang w:val="es-ES"/>
        </w:rPr>
        <w:t>.</w:t>
      </w:r>
    </w:p>
  </w:footnote>
  <w:footnote w:id="6">
    <w:p w14:paraId="2CCE51D0" w14:textId="77777777" w:rsidR="002D5AA1" w:rsidRPr="002D5AA1" w:rsidRDefault="002D5AA1">
      <w:pPr>
        <w:pStyle w:val="Textonotapie"/>
        <w:rPr>
          <w:lang w:val="es-ES"/>
        </w:rPr>
      </w:pPr>
      <w:r>
        <w:rPr>
          <w:rStyle w:val="Refdenotaalpie"/>
        </w:rPr>
        <w:footnoteRef/>
      </w:r>
      <w:r w:rsidRPr="005F691A">
        <w:rPr>
          <w:lang w:val="es-ES"/>
        </w:rPr>
        <w:t xml:space="preserve"> </w:t>
      </w:r>
      <w:r w:rsidR="002D555A" w:rsidRPr="005F691A">
        <w:rPr>
          <w:lang w:val="es-ES"/>
        </w:rPr>
        <w:t>El sostenimiento de los precios de mercado (MPS) se calcula neto de los gravámenes al productor y del exceso de coste de los piensos. Los productos de MPS para la Unión Europea son: trigo, maíz, cebada, avena, arroz, colza, girasol, soja, azúcar, leche, carne de vacuno y ternera, carne de ovino, carne de cerdo, aves de corral, huevos, patatas, tomates, vino, plantas y flores.  (OCDE, 2021).</w:t>
      </w:r>
    </w:p>
  </w:footnote>
  <w:footnote w:id="7">
    <w:p w14:paraId="02255FE6" w14:textId="77777777" w:rsidR="00120701" w:rsidRDefault="00120701">
      <w:pPr>
        <w:pStyle w:val="Textonotapie"/>
        <w:rPr>
          <w:lang w:val="es-ES"/>
        </w:rPr>
      </w:pPr>
      <w:r>
        <w:rPr>
          <w:rStyle w:val="Refdenotaalpie"/>
        </w:rPr>
        <w:footnoteRef/>
      </w:r>
      <w:r w:rsidRPr="00120701">
        <w:rPr>
          <w:lang w:val="es-ES"/>
        </w:rPr>
        <w:t xml:space="preserve"> </w:t>
      </w:r>
      <w:r>
        <w:rPr>
          <w:lang w:val="es-ES"/>
        </w:rPr>
        <w:t xml:space="preserve">Massot, A. 2021. </w:t>
      </w:r>
      <w:r w:rsidRPr="00120701">
        <w:rPr>
          <w:lang w:val="es-ES"/>
        </w:rPr>
        <w:t>La política agrícola común en cifras</w:t>
      </w:r>
      <w:r>
        <w:rPr>
          <w:lang w:val="es-ES"/>
        </w:rPr>
        <w:t xml:space="preserve">. </w:t>
      </w:r>
      <w:hyperlink r:id="rId3" w:history="1">
        <w:r w:rsidRPr="00630CAF">
          <w:rPr>
            <w:rStyle w:val="Hipervnculo"/>
            <w:lang w:val="es-ES"/>
          </w:rPr>
          <w:t>https://www.europarl.europa.eu/factsheets/es/sheet/104/la-politica-agricola-comun-en-cifras</w:t>
        </w:r>
      </w:hyperlink>
    </w:p>
    <w:p w14:paraId="6EDCAB08" w14:textId="77777777" w:rsidR="00120701" w:rsidRPr="00120701" w:rsidRDefault="00120701">
      <w:pPr>
        <w:pStyle w:val="Textonotapie"/>
        <w:rPr>
          <w:lang w:val="es-ES"/>
        </w:rPr>
      </w:pPr>
    </w:p>
  </w:footnote>
  <w:footnote w:id="8">
    <w:p w14:paraId="42D5EA12" w14:textId="009D452A" w:rsidR="00724A9D" w:rsidRPr="00724A9D" w:rsidRDefault="00724A9D">
      <w:pPr>
        <w:pStyle w:val="Textonotapie"/>
        <w:rPr>
          <w:lang w:val="es-ES"/>
        </w:rPr>
      </w:pPr>
      <w:r>
        <w:rPr>
          <w:rStyle w:val="Refdenotaalpie"/>
        </w:rPr>
        <w:footnoteRef/>
      </w:r>
      <w:r w:rsidRPr="00724A9D">
        <w:rPr>
          <w:lang w:val="es-ES"/>
        </w:rPr>
        <w:t xml:space="preserve"> </w:t>
      </w:r>
      <w:r w:rsidRPr="00724A9D">
        <w:rPr>
          <w:lang w:val="es-ES"/>
        </w:rPr>
        <w:t xml:space="preserve">MARTÍ, Albert Massot. ¿Puede convertirse la Política Agrícola Común (PAC) en la política alimentaria de la Unión </w:t>
      </w:r>
      <w:r w:rsidRPr="00724A9D">
        <w:rPr>
          <w:lang w:val="es-ES"/>
        </w:rPr>
        <w:t>Europea?</w:t>
      </w:r>
      <w:r w:rsidRPr="00724A9D">
        <w:rPr>
          <w:lang w:val="es-ES"/>
        </w:rPr>
        <w:t xml:space="preserve"> Papeles de Economía Española, 2024, n</w:t>
      </w:r>
      <w:r>
        <w:rPr>
          <w:lang w:val="es-ES"/>
        </w:rPr>
        <w:t>úm.</w:t>
      </w:r>
      <w:r w:rsidRPr="00724A9D">
        <w:rPr>
          <w:lang w:val="es-ES"/>
        </w:rPr>
        <w:t xml:space="preserve"> 179, p. 21-38.</w:t>
      </w:r>
    </w:p>
  </w:footnote>
  <w:footnote w:id="9">
    <w:p w14:paraId="3961F0CC" w14:textId="22894092" w:rsidR="00907959" w:rsidRPr="00907959" w:rsidRDefault="00907959" w:rsidP="00907959">
      <w:pPr>
        <w:pStyle w:val="NormalWeb"/>
        <w:shd w:val="clear" w:color="auto" w:fill="FFFFFF"/>
        <w:spacing w:before="0" w:beforeAutospacing="0"/>
        <w:rPr>
          <w:rFonts w:ascii="Helvetica" w:hAnsi="Helvetica"/>
          <w:bCs/>
          <w:sz w:val="20"/>
          <w:szCs w:val="20"/>
          <w:lang w:val="es-ES"/>
        </w:rPr>
      </w:pPr>
      <w:r>
        <w:rPr>
          <w:rStyle w:val="Refdenotaalpie"/>
        </w:rPr>
        <w:footnoteRef/>
      </w:r>
      <w:r w:rsidRPr="00907959">
        <w:rPr>
          <w:lang w:val="es-ES"/>
        </w:rPr>
        <w:t xml:space="preserve"> </w:t>
      </w:r>
      <w:r w:rsidRPr="00907959">
        <w:rPr>
          <w:rFonts w:ascii="Helvetica" w:hAnsi="Helvetica"/>
          <w:bCs/>
          <w:sz w:val="20"/>
          <w:szCs w:val="20"/>
          <w:lang w:val="es-ES"/>
        </w:rPr>
        <w:t>Se concretó en un rosario de disposiciones en ámbitos tan heterogéneos como: la higiene de los alimentos; la sanidad animal y vegetal; el bienestar animal; los aditivos de alimentos y piensos; los procedimientos de fabricación; la trazabilidad y los controles; los envases y los materiales en contacto con alimentos; la información al consumidor, el etiquetado los perfiles nutricionales; o los nuevos alimentos. Como culmen, el Reglamento C 1782002 fió los principios generales en cuanto a la toma de decisiones en materia de seguridad de alimentos y piensos e instituyó la «Autoridad Europea de Seguridad Alimentaria» (EFSA) como el máximo organismo científico de asesoramiento y evaluación de sus riesgos dentro de la UE.</w:t>
      </w:r>
    </w:p>
    <w:p w14:paraId="5D27B1C0" w14:textId="7D5F9F8B" w:rsidR="00907959" w:rsidRPr="00907959" w:rsidRDefault="00907959">
      <w:pPr>
        <w:pStyle w:val="Textonotapie"/>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B9CF7" w14:textId="77777777" w:rsidR="00120701" w:rsidRPr="00005A97" w:rsidRDefault="00120701">
    <w:pPr>
      <w:pStyle w:val="Encabezado"/>
      <w:rPr>
        <w:lang w:val="es-ES"/>
      </w:rPr>
    </w:pPr>
    <w:r>
      <w:rPr>
        <w:lang w:val="es-ES"/>
      </w:rPr>
      <w:t xml:space="preserve">L-5 </w:t>
    </w:r>
    <w:r w:rsidRPr="00005A97">
      <w:rPr>
        <w:lang w:val="es-ES"/>
      </w:rPr>
      <w:t xml:space="preserve">Objetivos de la política agrícola </w:t>
    </w:r>
    <w:r>
      <w:rPr>
        <w:lang w:val="es-ES"/>
      </w:rPr>
      <w:t>común 2021-27  por Carlos San Juan Mesonada. Catedrático Jean Monnet. Universidad Carlos III de Madrid.</w:t>
    </w:r>
  </w:p>
  <w:p w14:paraId="58718021" w14:textId="77777777" w:rsidR="00120701" w:rsidRPr="00005A97" w:rsidRDefault="00120701">
    <w:pPr>
      <w:pStyle w:val="Encabezado"/>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5EA8"/>
    <w:multiLevelType w:val="hybridMultilevel"/>
    <w:tmpl w:val="448AF5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394DB6"/>
    <w:multiLevelType w:val="hybridMultilevel"/>
    <w:tmpl w:val="06BCD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FF7128"/>
    <w:multiLevelType w:val="hybridMultilevel"/>
    <w:tmpl w:val="569634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16050"/>
    <w:multiLevelType w:val="hybridMultilevel"/>
    <w:tmpl w:val="76AC17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40A5DA6"/>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BD1634A"/>
    <w:multiLevelType w:val="hybridMultilevel"/>
    <w:tmpl w:val="C1C6856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DEB70E0"/>
    <w:multiLevelType w:val="hybridMultilevel"/>
    <w:tmpl w:val="43F475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B4B113F"/>
    <w:multiLevelType w:val="hybridMultilevel"/>
    <w:tmpl w:val="AAE0EA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2FB1284"/>
    <w:multiLevelType w:val="hybridMultilevel"/>
    <w:tmpl w:val="C07282CA"/>
    <w:lvl w:ilvl="0" w:tplc="6FEC341E">
      <w:start w:val="1"/>
      <w:numFmt w:val="upperLetter"/>
      <w:lvlText w:val="%1."/>
      <w:lvlJc w:val="left"/>
      <w:pPr>
        <w:ind w:left="720" w:hanging="360"/>
      </w:pPr>
      <w:rPr>
        <w:rFonts w:ascii="Helvetica" w:hAnsi="Helvetica" w:hint="default"/>
        <w:color w:val="1E1E1F"/>
        <w:sz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DB0FAE"/>
    <w:multiLevelType w:val="hybridMultilevel"/>
    <w:tmpl w:val="85EACD7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6"/>
  </w:num>
  <w:num w:numId="5">
    <w:abstractNumId w:val="5"/>
  </w:num>
  <w:num w:numId="6">
    <w:abstractNumId w:val="4"/>
  </w:num>
  <w:num w:numId="7">
    <w:abstractNumId w:val="1"/>
  </w:num>
  <w:num w:numId="8">
    <w:abstractNumId w:val="2"/>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Q1Njc2MDE1MDIyMjZW0lEKTi0uzszPAykwqgUAb/qPrCwAAAA="/>
  </w:docVars>
  <w:rsids>
    <w:rsidRoot w:val="00150FE3"/>
    <w:rsid w:val="00005A97"/>
    <w:rsid w:val="00041C6A"/>
    <w:rsid w:val="0008393F"/>
    <w:rsid w:val="000C4415"/>
    <w:rsid w:val="000D1CEA"/>
    <w:rsid w:val="00120701"/>
    <w:rsid w:val="00150FE3"/>
    <w:rsid w:val="001546EB"/>
    <w:rsid w:val="00162BFD"/>
    <w:rsid w:val="001630DE"/>
    <w:rsid w:val="001D1497"/>
    <w:rsid w:val="001E7CC3"/>
    <w:rsid w:val="001F49F2"/>
    <w:rsid w:val="001F6EDE"/>
    <w:rsid w:val="0027290B"/>
    <w:rsid w:val="00274DC7"/>
    <w:rsid w:val="00291ED6"/>
    <w:rsid w:val="002D555A"/>
    <w:rsid w:val="002D5AA1"/>
    <w:rsid w:val="002F39AA"/>
    <w:rsid w:val="003131A4"/>
    <w:rsid w:val="003208B6"/>
    <w:rsid w:val="00391122"/>
    <w:rsid w:val="003F1541"/>
    <w:rsid w:val="00481166"/>
    <w:rsid w:val="004A0B93"/>
    <w:rsid w:val="004B35CE"/>
    <w:rsid w:val="004B41D6"/>
    <w:rsid w:val="004E29AF"/>
    <w:rsid w:val="004F6F73"/>
    <w:rsid w:val="0059430C"/>
    <w:rsid w:val="005F1DDD"/>
    <w:rsid w:val="005F691A"/>
    <w:rsid w:val="00620D48"/>
    <w:rsid w:val="006215AF"/>
    <w:rsid w:val="006E175E"/>
    <w:rsid w:val="00724A9D"/>
    <w:rsid w:val="00737492"/>
    <w:rsid w:val="00837094"/>
    <w:rsid w:val="0085107F"/>
    <w:rsid w:val="00872EE4"/>
    <w:rsid w:val="008840A2"/>
    <w:rsid w:val="008B7CF7"/>
    <w:rsid w:val="00907959"/>
    <w:rsid w:val="009D21FD"/>
    <w:rsid w:val="00A06626"/>
    <w:rsid w:val="00A226C6"/>
    <w:rsid w:val="00AD2B3C"/>
    <w:rsid w:val="00B51263"/>
    <w:rsid w:val="00B920A8"/>
    <w:rsid w:val="00BC2CF9"/>
    <w:rsid w:val="00BE4B69"/>
    <w:rsid w:val="00C17C46"/>
    <w:rsid w:val="00C4190B"/>
    <w:rsid w:val="00CB7361"/>
    <w:rsid w:val="00CC39EC"/>
    <w:rsid w:val="00CD1DA7"/>
    <w:rsid w:val="00D27D00"/>
    <w:rsid w:val="00D61621"/>
    <w:rsid w:val="00D7753B"/>
    <w:rsid w:val="00DE4BCC"/>
    <w:rsid w:val="00E86C83"/>
    <w:rsid w:val="00EC2F99"/>
    <w:rsid w:val="00EE2E28"/>
    <w:rsid w:val="00F61E07"/>
    <w:rsid w:val="00FC1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93B1D0"/>
  <w15:chartTrackingRefBased/>
  <w15:docId w15:val="{C80849F5-7704-4719-8CC6-75734DDF4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next w:val="Normal"/>
    <w:link w:val="Ttulo1Car"/>
    <w:uiPriority w:val="9"/>
    <w:qFormat/>
    <w:rsid w:val="00150F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50F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150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50FE3"/>
    <w:rPr>
      <w:rFonts w:asciiTheme="majorHAnsi" w:eastAsiaTheme="majorEastAsia" w:hAnsiTheme="majorHAnsi" w:cstheme="majorBidi"/>
      <w:color w:val="2E74B5" w:themeColor="accent1" w:themeShade="BF"/>
      <w:sz w:val="32"/>
      <w:szCs w:val="32"/>
      <w:lang w:val="en-GB"/>
    </w:rPr>
  </w:style>
  <w:style w:type="character" w:customStyle="1" w:styleId="Ttulo2Car">
    <w:name w:val="Título 2 Car"/>
    <w:basedOn w:val="Fuentedeprrafopredeter"/>
    <w:link w:val="Ttulo2"/>
    <w:uiPriority w:val="9"/>
    <w:rsid w:val="00150FE3"/>
    <w:rPr>
      <w:rFonts w:asciiTheme="majorHAnsi" w:eastAsiaTheme="majorEastAsia" w:hAnsiTheme="majorHAnsi" w:cstheme="majorBidi"/>
      <w:color w:val="2E74B5" w:themeColor="accent1" w:themeShade="BF"/>
      <w:sz w:val="26"/>
      <w:szCs w:val="26"/>
      <w:lang w:val="en-GB"/>
    </w:rPr>
  </w:style>
  <w:style w:type="paragraph" w:styleId="Prrafodelista">
    <w:name w:val="List Paragraph"/>
    <w:basedOn w:val="Normal"/>
    <w:uiPriority w:val="34"/>
    <w:qFormat/>
    <w:rsid w:val="00150FE3"/>
    <w:pPr>
      <w:ind w:left="720"/>
      <w:contextualSpacing/>
    </w:pPr>
  </w:style>
  <w:style w:type="character" w:customStyle="1" w:styleId="Ttulo3Car">
    <w:name w:val="Título 3 Car"/>
    <w:basedOn w:val="Fuentedeprrafopredeter"/>
    <w:link w:val="Ttulo3"/>
    <w:uiPriority w:val="9"/>
    <w:rsid w:val="00150FE3"/>
    <w:rPr>
      <w:rFonts w:asciiTheme="majorHAnsi" w:eastAsiaTheme="majorEastAsia" w:hAnsiTheme="majorHAnsi" w:cstheme="majorBidi"/>
      <w:color w:val="1F4D78" w:themeColor="accent1" w:themeShade="7F"/>
      <w:sz w:val="24"/>
      <w:szCs w:val="24"/>
      <w:lang w:val="en-GB"/>
    </w:rPr>
  </w:style>
  <w:style w:type="paragraph" w:styleId="NormalWeb">
    <w:name w:val="Normal (Web)"/>
    <w:basedOn w:val="Normal"/>
    <w:uiPriority w:val="99"/>
    <w:semiHidden/>
    <w:unhideWhenUsed/>
    <w:rsid w:val="00150FE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ont-weight-bold">
    <w:name w:val="font-weight-bold"/>
    <w:basedOn w:val="Fuentedeprrafopredeter"/>
    <w:rsid w:val="00150FE3"/>
  </w:style>
  <w:style w:type="character" w:styleId="Hipervnculo">
    <w:name w:val="Hyperlink"/>
    <w:basedOn w:val="Fuentedeprrafopredeter"/>
    <w:uiPriority w:val="99"/>
    <w:unhideWhenUsed/>
    <w:rsid w:val="00150FE3"/>
    <w:rPr>
      <w:color w:val="0000FF"/>
      <w:u w:val="single"/>
    </w:rPr>
  </w:style>
  <w:style w:type="paragraph" w:styleId="Textonotapie">
    <w:name w:val="footnote text"/>
    <w:basedOn w:val="Normal"/>
    <w:link w:val="TextonotapieCar"/>
    <w:uiPriority w:val="99"/>
    <w:semiHidden/>
    <w:unhideWhenUsed/>
    <w:rsid w:val="003F154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F1541"/>
    <w:rPr>
      <w:sz w:val="20"/>
      <w:szCs w:val="20"/>
      <w:lang w:val="en-GB"/>
    </w:rPr>
  </w:style>
  <w:style w:type="character" w:styleId="Refdenotaalpie">
    <w:name w:val="footnote reference"/>
    <w:basedOn w:val="Fuentedeprrafopredeter"/>
    <w:uiPriority w:val="99"/>
    <w:semiHidden/>
    <w:unhideWhenUsed/>
    <w:rsid w:val="003F1541"/>
    <w:rPr>
      <w:vertAlign w:val="superscript"/>
    </w:rPr>
  </w:style>
  <w:style w:type="paragraph" w:customStyle="1" w:styleId="spip">
    <w:name w:val="spip"/>
    <w:basedOn w:val="Normal"/>
    <w:rsid w:val="003F154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ipervnculovisitado">
    <w:name w:val="FollowedHyperlink"/>
    <w:basedOn w:val="Fuentedeprrafopredeter"/>
    <w:uiPriority w:val="99"/>
    <w:semiHidden/>
    <w:unhideWhenUsed/>
    <w:rsid w:val="003F1541"/>
    <w:rPr>
      <w:color w:val="954F72" w:themeColor="followedHyperlink"/>
      <w:u w:val="single"/>
    </w:rPr>
  </w:style>
  <w:style w:type="paragraph" w:styleId="Encabezado">
    <w:name w:val="header"/>
    <w:basedOn w:val="Normal"/>
    <w:link w:val="EncabezadoCar"/>
    <w:uiPriority w:val="99"/>
    <w:unhideWhenUsed/>
    <w:rsid w:val="00005A9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05A97"/>
    <w:rPr>
      <w:lang w:val="en-GB"/>
    </w:rPr>
  </w:style>
  <w:style w:type="paragraph" w:styleId="Piedepgina">
    <w:name w:val="footer"/>
    <w:basedOn w:val="Normal"/>
    <w:link w:val="PiedepginaCar"/>
    <w:uiPriority w:val="99"/>
    <w:unhideWhenUsed/>
    <w:rsid w:val="00005A9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05A97"/>
    <w:rPr>
      <w:lang w:val="en-GB"/>
    </w:rPr>
  </w:style>
  <w:style w:type="paragraph" w:styleId="Textodeglobo">
    <w:name w:val="Balloon Text"/>
    <w:basedOn w:val="Normal"/>
    <w:link w:val="TextodegloboCar"/>
    <w:uiPriority w:val="99"/>
    <w:semiHidden/>
    <w:unhideWhenUsed/>
    <w:rsid w:val="001546E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546EB"/>
    <w:rPr>
      <w:rFonts w:ascii="Segoe UI" w:hAnsi="Segoe UI" w:cs="Segoe UI"/>
      <w:sz w:val="18"/>
      <w:szCs w:val="18"/>
      <w:lang w:val="en-GB"/>
    </w:rPr>
  </w:style>
  <w:style w:type="character" w:styleId="Mencinsinresolver">
    <w:name w:val="Unresolved Mention"/>
    <w:basedOn w:val="Fuentedeprrafopredeter"/>
    <w:uiPriority w:val="99"/>
    <w:semiHidden/>
    <w:unhideWhenUsed/>
    <w:rsid w:val="00D27D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03225">
      <w:bodyDiv w:val="1"/>
      <w:marLeft w:val="0"/>
      <w:marRight w:val="0"/>
      <w:marTop w:val="0"/>
      <w:marBottom w:val="0"/>
      <w:divBdr>
        <w:top w:val="none" w:sz="0" w:space="0" w:color="auto"/>
        <w:left w:val="none" w:sz="0" w:space="0" w:color="auto"/>
        <w:bottom w:val="none" w:sz="0" w:space="0" w:color="auto"/>
        <w:right w:val="none" w:sz="0" w:space="0" w:color="auto"/>
      </w:divBdr>
    </w:div>
    <w:div w:id="269553901">
      <w:bodyDiv w:val="1"/>
      <w:marLeft w:val="0"/>
      <w:marRight w:val="0"/>
      <w:marTop w:val="0"/>
      <w:marBottom w:val="0"/>
      <w:divBdr>
        <w:top w:val="none" w:sz="0" w:space="0" w:color="auto"/>
        <w:left w:val="none" w:sz="0" w:space="0" w:color="auto"/>
        <w:bottom w:val="none" w:sz="0" w:space="0" w:color="auto"/>
        <w:right w:val="none" w:sz="0" w:space="0" w:color="auto"/>
      </w:divBdr>
    </w:div>
    <w:div w:id="898126170">
      <w:bodyDiv w:val="1"/>
      <w:marLeft w:val="0"/>
      <w:marRight w:val="0"/>
      <w:marTop w:val="0"/>
      <w:marBottom w:val="0"/>
      <w:divBdr>
        <w:top w:val="none" w:sz="0" w:space="0" w:color="auto"/>
        <w:left w:val="none" w:sz="0" w:space="0" w:color="auto"/>
        <w:bottom w:val="none" w:sz="0" w:space="0" w:color="auto"/>
        <w:right w:val="none" w:sz="0" w:space="0" w:color="auto"/>
      </w:divBdr>
    </w:div>
    <w:div w:id="981302124">
      <w:bodyDiv w:val="1"/>
      <w:marLeft w:val="0"/>
      <w:marRight w:val="0"/>
      <w:marTop w:val="0"/>
      <w:marBottom w:val="0"/>
      <w:divBdr>
        <w:top w:val="none" w:sz="0" w:space="0" w:color="auto"/>
        <w:left w:val="none" w:sz="0" w:space="0" w:color="auto"/>
        <w:bottom w:val="none" w:sz="0" w:space="0" w:color="auto"/>
        <w:right w:val="none" w:sz="0" w:space="0" w:color="auto"/>
      </w:divBdr>
    </w:div>
    <w:div w:id="1236932988">
      <w:bodyDiv w:val="1"/>
      <w:marLeft w:val="0"/>
      <w:marRight w:val="0"/>
      <w:marTop w:val="0"/>
      <w:marBottom w:val="0"/>
      <w:divBdr>
        <w:top w:val="none" w:sz="0" w:space="0" w:color="auto"/>
        <w:left w:val="none" w:sz="0" w:space="0" w:color="auto"/>
        <w:bottom w:val="none" w:sz="0" w:space="0" w:color="auto"/>
        <w:right w:val="none" w:sz="0" w:space="0" w:color="auto"/>
      </w:divBdr>
    </w:div>
    <w:div w:id="199756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obab.uc3m.es/monet/monnet/spip.php?article903" TargetMode="External"/><Relationship Id="rId13" Type="http://schemas.openxmlformats.org/officeDocument/2006/relationships/hyperlink" Target="https://www.europarl.europa.eu/factsheets/ES/sheet/104/la-politica-agricola-comun-en-cifra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ecd-ilibrary.org/sites/2d810e01-en/1/3/2/10/index.html?itemId=/content/publication/2d810e01-en&amp;_csp_=af0753aa6f1227099c73c6abb0fd552b&amp;itemIGO=oecd&amp;itemContentType=boo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ecd-ilibrary.org/sites/2d810e01-en/1/3/2/10/index.html?itemId=/content/publication/2d810e01-en&amp;_csp_=af0753aa6f1227099c73c6abb0fd552b&amp;itemIGO=oecd&amp;itemContentType=book" TargetMode="External"/><Relationship Id="rId5" Type="http://schemas.openxmlformats.org/officeDocument/2006/relationships/webSettings" Target="webSettings.xml"/><Relationship Id="rId15" Type="http://schemas.openxmlformats.org/officeDocument/2006/relationships/hyperlink" Target="https://www.europarl.europa.eu/factsheets/ES/sheet/104/la-politica-agricola-comun-en-cifras" TargetMode="External"/><Relationship Id="rId10" Type="http://schemas.openxmlformats.org/officeDocument/2006/relationships/hyperlink" Target="https://www.oecd-ilibrary.org/sites/2d810e01-en/1/3/2/10/index.html?itemId=/content/publication/2d810e01-en&amp;_csp_=af0753aa6f1227099c73c6abb0fd552b&amp;itemIGO=oecd&amp;itemContentType=boo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oecd-ilibrary.org/agriculture-and-food/agricultural-policy-monitoring-and-evaluation_22217371" TargetMode="External"/><Relationship Id="rId14" Type="http://schemas.openxmlformats.org/officeDocument/2006/relationships/hyperlink" Target="https://www.europarl.europa.eu/factsheets/ES/sheet/108/el-primer-pilar-de-la-pac-i-la-organizacion-comun-de-mercados-agricolas-oc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uroparl.europa.eu/factsheets/es/sheet/104/la-politica-agricola-comun-en-cifras" TargetMode="External"/><Relationship Id="rId2" Type="http://schemas.openxmlformats.org/officeDocument/2006/relationships/hyperlink" Target="https://www.oecd-ilibrary.org/sites/2d810e01-en/1/3/2/10/index.html?itemId=/content/publication/2d810e01-en&amp;_csp_=af0753aa6f1227099c73c6abb0fd552b&amp;itemIGO=oecd&amp;itemContentType=book" TargetMode="External"/><Relationship Id="rId1" Type="http://schemas.openxmlformats.org/officeDocument/2006/relationships/hyperlink" Target="https://www.oecd-ilibrary.org/sites/2d810e01-en/1/3/2/10/index.html?itemId=/content/publication/2d810e01-en&amp;_csp_=af0753aa6f1227099c73c6abb0fd552b&amp;itemIGO=oecd&amp;itemContentType=book"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F537288-DCA5-4531-BED4-3A60FF2E3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1429</TotalTime>
  <Pages>25</Pages>
  <Words>9327</Words>
  <Characters>48226</Characters>
  <Application>Microsoft Office Word</Application>
  <DocSecurity>0</DocSecurity>
  <Lines>876</Lines>
  <Paragraphs>321</Paragraphs>
  <ScaleCrop>false</ScaleCrop>
  <HeadingPairs>
    <vt:vector size="2" baseType="variant">
      <vt:variant>
        <vt:lpstr>Título</vt:lpstr>
      </vt:variant>
      <vt:variant>
        <vt:i4>1</vt:i4>
      </vt:variant>
    </vt:vector>
  </HeadingPairs>
  <TitlesOfParts>
    <vt:vector size="1" baseType="lpstr">
      <vt:lpstr/>
    </vt:vector>
  </TitlesOfParts>
  <Company>Universidad Carlos III de Madrid</Company>
  <LinksUpToDate>false</LinksUpToDate>
  <CharactersWithSpaces>57232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csj</dc:creator>
  <cp:keywords/>
  <dc:description/>
  <cp:lastModifiedBy>Carlos San Juan Mesonada</cp:lastModifiedBy>
  <cp:revision>7</cp:revision>
  <cp:lastPrinted>2021-11-17T16:25:00Z</cp:lastPrinted>
  <dcterms:created xsi:type="dcterms:W3CDTF">2024-11-21T13:14:00Z</dcterms:created>
  <dcterms:modified xsi:type="dcterms:W3CDTF">2024-11-22T12:52:00Z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0725f23cfb14bc0d3259afc235fe1e6c733a87a8efbd9216221f9f49b9daca89</vt:lpwstr>
  </property>
</Properties>
</file>